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60C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Times New Roman" w:hAnsi="Times New Roman" w:eastAsia="Songti SC"/>
          <w:lang w:eastAsia="zh-CN"/>
        </w:rPr>
      </w:pPr>
      <w:r>
        <w:rPr>
          <w:rFonts w:ascii="Times New Roman" w:hAnsi="Times New Roman" w:eastAsia="Songti SC"/>
          <w:b/>
          <w:color w:val="1F4E79"/>
          <w:sz w:val="36"/>
        </w:rPr>
        <w:t>AI循证</w:t>
      </w:r>
      <w:r>
        <w:rPr>
          <w:rFonts w:hint="eastAsia" w:ascii="Times New Roman" w:hAnsi="Times New Roman" w:eastAsia="Songti SC"/>
          <w:b/>
          <w:color w:val="1F4E79"/>
          <w:sz w:val="36"/>
          <w:lang w:val="en-US" w:eastAsia="zh-CN"/>
        </w:rPr>
        <w:t>总结</w:t>
      </w:r>
    </w:p>
    <w:p w14:paraId="0CB006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  <w:color w:val="595959"/>
          <w:sz w:val="19"/>
        </w:rPr>
        <w:t>基于视频与《“人工智能+教育”行动计划》公开文本</w:t>
      </w:r>
    </w:p>
    <w:p w14:paraId="01FD904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  <w:b/>
          <w:color w:val="1F4E79"/>
          <w:sz w:val="30"/>
        </w:rPr>
        <w:t>一、视频内容的精炼总结</w:t>
      </w:r>
    </w:p>
    <w:p w14:paraId="5356DA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  <w:sz w:val="21"/>
        </w:rPr>
        <w:t>视频借《“人工智能+教育”行动计划》提出一种面向教学质量改进的 AI 落地路径：以“标准先行、证据随后”为基本原则，用完整证据链串联教学设计、课堂实施</w:t>
      </w:r>
      <w:bookmarkStart w:id="0" w:name="_GoBack"/>
      <w:bookmarkEnd w:id="0"/>
      <w:r>
        <w:rPr>
          <w:rFonts w:ascii="Times New Roman" w:hAnsi="Times New Roman" w:eastAsia="Songti SC"/>
          <w:sz w:val="21"/>
        </w:rPr>
        <w:t>、学习评价与教学改进。</w:t>
      </w:r>
    </w:p>
    <w:p w14:paraId="05448E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Songti SC"/>
          <w:sz w:val="21"/>
        </w:rPr>
      </w:pPr>
      <w:r>
        <w:rPr>
          <w:rFonts w:hint="eastAsia" w:ascii="Times New Roman" w:hAnsi="Times New Roman" w:eastAsia="Songti SC"/>
          <w:sz w:val="21"/>
          <w:lang w:val="en-US" w:eastAsia="zh-CN"/>
        </w:rPr>
        <w:t>主要内容有</w:t>
      </w:r>
      <w:r>
        <w:rPr>
          <w:rFonts w:ascii="Times New Roman" w:hAnsi="Times New Roman" w:eastAsia="Songti SC"/>
          <w:sz w:val="21"/>
        </w:rPr>
        <w:t>三点：</w:t>
      </w:r>
    </w:p>
    <w:p w14:paraId="5CF07C43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Songti SC"/>
          <w:sz w:val="21"/>
        </w:rPr>
      </w:pPr>
      <w:r>
        <w:rPr>
          <w:rFonts w:ascii="Times New Roman" w:hAnsi="Times New Roman" w:eastAsia="Songti SC"/>
          <w:sz w:val="21"/>
        </w:rPr>
        <w:t>传统教学中“教—学—评”之间缺乏</w:t>
      </w:r>
      <w:r>
        <w:rPr>
          <w:rFonts w:hint="eastAsia" w:ascii="Songti SC Bold" w:hAnsi="Songti SC Bold" w:eastAsia="Songti SC Bold" w:cs="Songti SC Bold"/>
          <w:b/>
          <w:bCs/>
          <w:color w:val="FF0000"/>
          <w:sz w:val="21"/>
        </w:rPr>
        <w:t>可追踪</w:t>
      </w:r>
      <w:r>
        <w:rPr>
          <w:rFonts w:ascii="Times New Roman" w:hAnsi="Times New Roman" w:eastAsia="Songti SC"/>
          <w:sz w:val="21"/>
        </w:rPr>
        <w:t>闭环；</w:t>
      </w:r>
    </w:p>
    <w:p w14:paraId="3F6033B9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  <w:sz w:val="21"/>
        </w:rPr>
        <w:t>核心素养评价往往缺少可观察、可保存、可解释的证据</w:t>
      </w:r>
      <w:r>
        <w:rPr>
          <w:rFonts w:hint="eastAsia" w:ascii="Times New Roman" w:hAnsi="Times New Roman" w:eastAsia="Songti SC"/>
          <w:sz w:val="21"/>
          <w:lang w:eastAsia="zh-CN"/>
        </w:rPr>
        <w:t>；</w:t>
      </w:r>
    </w:p>
    <w:p w14:paraId="72BF381A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  <w:sz w:val="21"/>
        </w:rPr>
        <w:t>个性化教学通常停留在理念层面，难以形成稳定的</w:t>
      </w:r>
      <w:r>
        <w:rPr>
          <w:rFonts w:hint="eastAsia" w:ascii="Songti SC Bold" w:hAnsi="Songti SC Bold" w:eastAsia="Songti SC Bold" w:cs="Songti SC Bold"/>
          <w:b/>
          <w:bCs/>
          <w:color w:val="FF0000"/>
          <w:sz w:val="21"/>
        </w:rPr>
        <w:t>诊断和干预</w:t>
      </w:r>
      <w:r>
        <w:rPr>
          <w:rFonts w:ascii="Times New Roman" w:hAnsi="Times New Roman" w:eastAsia="Songti SC"/>
          <w:sz w:val="21"/>
        </w:rPr>
        <w:t>机制。</w:t>
      </w:r>
    </w:p>
    <w:p w14:paraId="0E16DC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  <w:sz w:val="21"/>
        </w:rPr>
        <w:t>视频批判“浅层 AI 应用”，主要是指 AI 仅用于生成教案、制作课件、批改作业或推荐练习，虽然提升了局部效率，却没有真正改变教学目标、学习过程、评价反馈之间脱节的问题。</w:t>
      </w:r>
    </w:p>
    <w:p w14:paraId="4AE1AE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  <w:sz w:val="21"/>
        </w:rPr>
        <w:t>因此，AI 教育落地不能从“工具功能”出发，而应从“教育证据链”出发；不能只回答“AI 能帮教师做什么”，更要回答“</w:t>
      </w:r>
      <w:r>
        <w:rPr>
          <w:rFonts w:ascii="Times New Roman" w:hAnsi="Times New Roman" w:eastAsia="Songti SC"/>
          <w:b/>
          <w:bCs/>
          <w:color w:val="FF0000"/>
          <w:sz w:val="21"/>
        </w:rPr>
        <w:t>AI 如何帮助教师证明学生确实发生了学习与素养发展</w:t>
      </w:r>
      <w:r>
        <w:rPr>
          <w:rFonts w:ascii="Times New Roman" w:hAnsi="Times New Roman" w:eastAsia="Songti SC"/>
          <w:sz w:val="21"/>
        </w:rPr>
        <w:t>”。</w:t>
      </w:r>
    </w:p>
    <w:tbl>
      <w:tblPr>
        <w:tblStyle w:val="33"/>
        <w:tblpPr w:leftFromText="180" w:rightFromText="180" w:vertAnchor="text" w:horzAnchor="page" w:tblpX="1773" w:tblpY="5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402"/>
        <w:gridCol w:w="3969"/>
      </w:tblGrid>
      <w:tr w14:paraId="252C78D5">
        <w:tc>
          <w:tcPr>
            <w:tcW w:w="15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D04D0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19"/>
              </w:rPr>
              <w:t>环节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BA4C3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19"/>
              </w:rPr>
              <w:t>核心问题</w:t>
            </w:r>
          </w:p>
        </w:tc>
        <w:tc>
          <w:tcPr>
            <w:tcW w:w="39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AAC74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19"/>
              </w:rPr>
              <w:t>AI循证的作用</w:t>
            </w:r>
          </w:p>
        </w:tc>
      </w:tr>
      <w:tr w14:paraId="15810A70">
        <w:tc>
          <w:tcPr>
            <w:tcW w:w="153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7F9FC"/>
            <w:vAlign w:val="center"/>
          </w:tcPr>
          <w:p w14:paraId="043CC4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标准先行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7F9FC"/>
            <w:vAlign w:val="center"/>
          </w:tcPr>
          <w:p w14:paraId="70D419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教学目标和核心素养是否被明确拆解？</w:t>
            </w:r>
          </w:p>
        </w:tc>
        <w:tc>
          <w:tcPr>
            <w:tcW w:w="396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7F9FC"/>
            <w:vAlign w:val="center"/>
          </w:tcPr>
          <w:p w14:paraId="1DE933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将课程标准、单元目标和评价要求转化为可操作指标。</w:t>
            </w:r>
          </w:p>
        </w:tc>
      </w:tr>
      <w:tr w14:paraId="74D3D513">
        <w:tc>
          <w:tcPr>
            <w:tcW w:w="153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CDD75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证据采集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DEDBC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哪些课堂表现能够证明学生达成目标？</w:t>
            </w:r>
          </w:p>
        </w:tc>
        <w:tc>
          <w:tcPr>
            <w:tcW w:w="396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2A01F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采集作业、讨论、测验、课堂互动、反思文本等学习证据。</w:t>
            </w:r>
          </w:p>
        </w:tc>
      </w:tr>
      <w:tr w14:paraId="4DF0DDF3">
        <w:tc>
          <w:tcPr>
            <w:tcW w:w="153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7F9FC"/>
            <w:vAlign w:val="center"/>
          </w:tcPr>
          <w:p w14:paraId="7A0E2E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智能分析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7F9FC"/>
            <w:vAlign w:val="center"/>
          </w:tcPr>
          <w:p w14:paraId="5E2F72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证据能否解释学生差异和教学问题？</w:t>
            </w:r>
          </w:p>
        </w:tc>
        <w:tc>
          <w:tcPr>
            <w:tcW w:w="396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7F9FC"/>
            <w:vAlign w:val="center"/>
          </w:tcPr>
          <w:p w14:paraId="557838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识别知识短板、思维误区、参与差异与素养表现。</w:t>
            </w:r>
          </w:p>
        </w:tc>
      </w:tr>
      <w:tr w14:paraId="15907722">
        <w:tc>
          <w:tcPr>
            <w:tcW w:w="153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BE470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反馈干预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0D642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教师如何据此调整教学？</w:t>
            </w:r>
          </w:p>
        </w:tc>
        <w:tc>
          <w:tcPr>
            <w:tcW w:w="396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4A8CC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生成分层任务、补救建议、课堂活动优化方案。</w:t>
            </w:r>
          </w:p>
        </w:tc>
      </w:tr>
      <w:tr w14:paraId="6759FE81">
        <w:tc>
          <w:tcPr>
            <w:tcW w:w="153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7F9FC"/>
            <w:vAlign w:val="center"/>
          </w:tcPr>
          <w:p w14:paraId="1908BA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闭环改进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7F9FC"/>
            <w:vAlign w:val="center"/>
          </w:tcPr>
          <w:p w14:paraId="1E6EF7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下一轮教学是否基于证据优化？</w:t>
            </w:r>
          </w:p>
        </w:tc>
        <w:tc>
          <w:tcPr>
            <w:tcW w:w="396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7F9FC"/>
            <w:vAlign w:val="center"/>
          </w:tcPr>
          <w:p w14:paraId="5AB4B4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hAnsi="Times New Roman" w:eastAsia="Songti SC"/>
              </w:rPr>
            </w:pPr>
            <w:r>
              <w:rPr>
                <w:rFonts w:ascii="Times New Roman" w:hAnsi="Times New Roman" w:eastAsia="Songti SC"/>
                <w:sz w:val="18"/>
              </w:rPr>
              <w:t>把评价结果回流到备课、授课和反思环节。</w:t>
            </w:r>
          </w:p>
        </w:tc>
      </w:tr>
    </w:tbl>
    <w:p w14:paraId="19A826F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  <w:b/>
          <w:color w:val="1F4E79"/>
          <w:sz w:val="30"/>
        </w:rPr>
        <w:t>二、</w:t>
      </w:r>
      <w:r>
        <w:rPr>
          <w:rFonts w:hint="eastAsia" w:ascii="Times New Roman" w:hAnsi="Times New Roman" w:eastAsia="Songti SC"/>
          <w:b/>
          <w:color w:val="1F4E79"/>
          <w:sz w:val="30"/>
          <w:lang w:val="en-US" w:eastAsia="zh-CN"/>
        </w:rPr>
        <w:t>提出的</w:t>
      </w:r>
      <w:r>
        <w:rPr>
          <w:rFonts w:ascii="Times New Roman" w:hAnsi="Times New Roman" w:eastAsia="Songti SC"/>
          <w:b/>
          <w:color w:val="1F4E79"/>
          <w:sz w:val="30"/>
        </w:rPr>
        <w:t>方法论框架</w:t>
      </w:r>
    </w:p>
    <w:p w14:paraId="06FFE7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Songti SC"/>
        </w:rPr>
      </w:pPr>
    </w:p>
    <w:p w14:paraId="323F9E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</w:rPr>
        <w:br w:type="page"/>
      </w:r>
    </w:p>
    <w:p w14:paraId="7D5FC19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  <w:b/>
          <w:color w:val="1F4E79"/>
          <w:sz w:val="30"/>
        </w:rPr>
        <w:t>三、对我们课程Agent设计的借鉴意义</w:t>
      </w:r>
    </w:p>
    <w:p w14:paraId="077BC9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  <w:rPr>
          <w:rFonts w:ascii="Times New Roman" w:hAnsi="Times New Roman" w:eastAsia="Songti SC"/>
        </w:rPr>
      </w:pPr>
      <w:r>
        <w:rPr>
          <w:rFonts w:ascii="Times New Roman" w:hAnsi="Times New Roman" w:eastAsia="Songti SC"/>
          <w:sz w:val="21"/>
        </w:rPr>
        <w:t>对我们的课程 Agent 而言，最重要的启发是：定位为“</w:t>
      </w:r>
      <w:r>
        <w:rPr>
          <w:rFonts w:hint="eastAsia" w:ascii="Songti SC Bold" w:hAnsi="Songti SC Bold" w:eastAsia="Songti SC Bold" w:cs="Songti SC Bold"/>
          <w:b/>
          <w:bCs/>
          <w:color w:val="FF0000"/>
          <w:sz w:val="21"/>
        </w:rPr>
        <w:t>面</w:t>
      </w:r>
      <w:r>
        <w:rPr>
          <w:rFonts w:ascii="Times New Roman" w:hAnsi="Times New Roman" w:eastAsia="Songti SC"/>
          <w:b/>
          <w:bCs/>
          <w:color w:val="FF0000"/>
          <w:sz w:val="21"/>
        </w:rPr>
        <w:t>向新入职教师的 AI 循证备课与教学改进智能体</w:t>
      </w:r>
      <w:r>
        <w:rPr>
          <w:rFonts w:ascii="Times New Roman" w:hAnsi="Times New Roman" w:eastAsia="Songti SC"/>
          <w:sz w:val="21"/>
        </w:rPr>
        <w:t>”。这意味着 Agent 的价值不只是生成教案，而是帮助新教师建立从课程目标到课堂证据、再到教学改进的完整工作流。</w:t>
      </w:r>
    </w:p>
    <w:sectPr>
      <w:footerReference r:id="rId5" w:type="default"/>
      <w:pgSz w:w="12240" w:h="15840"/>
      <w:pgMar w:top="964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670BC">
    <w:pPr>
      <w:pStyle w:val="24"/>
      <w:jc w:val="center"/>
    </w:pPr>
    <w:r>
      <w:rPr>
        <w:rFonts w:ascii="Arial" w:hAnsi="Arial" w:eastAsia="Noto Sans CJK SC"/>
        <w:color w:val="7F7F7F"/>
        <w:sz w:val="16"/>
      </w:rPr>
      <w:t>AI循证视频学习与课程Agent设计借鉴｜内部学习稿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62EFC7"/>
    <w:multiLevelType w:val="singleLevel"/>
    <w:tmpl w:val="F962EFC7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8FC927"/>
    <w:rsid w:val="D7EBF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严迪磊</cp:lastModifiedBy>
  <dcterms:modified xsi:type="dcterms:W3CDTF">2026-04-24T19:28:53Z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9E06A73220814F53C253EB695A2105D4_42</vt:lpwstr>
  </property>
</Properties>
</file>