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0"/>
        <w:jc w:val="left"/>
      </w:pPr>
      <w:r>
        <w:rPr>
          <w:rFonts w:ascii="Calibri" w:cs="Calibri" w:eastAsia="Calibri" w:hAnsi="Calibri"/>
          <w:b/>
          <w:bCs/>
          <w:i w:val="false"/>
          <w:iCs w:val="false"/>
          <w:color w:val="1A2F4A"/>
          <w:sz w:val="26"/>
          <w:szCs w:val="26"/>
        </w:rPr>
        <w:t xml:space="preserve">CFB INDEX</w:t>
      </w:r>
      <w:r>
        <w:rPr>
          <w:rFonts w:ascii="Calibri" w:cs="Calibri" w:eastAsia="Calibri" w:hAnsi="Calibri"/>
          <w:b w:val="false"/>
          <w:bCs w:val="false"/>
          <w:i w:val="false"/>
          <w:iCs w:val="false"/>
          <w:color w:val="1F2937"/>
          <w:sz w:val="19"/>
          <w:szCs w:val="19"/>
        </w:rPr>
        <w:t xml:space="preserve">   </w:t>
      </w:r>
      <w:r>
        <w:rPr>
          <w:rFonts w:ascii="Calibri" w:cs="Calibri" w:eastAsia="Calibri" w:hAnsi="Calibri"/>
          <w:b w:val="false"/>
          <w:bCs w:val="false"/>
          <w:i/>
          <w:iCs/>
          <w:color w:val="6B7280"/>
          <w:sz w:val="20"/>
          <w:szCs w:val="20"/>
        </w:rPr>
        <w:t xml:space="preserve">Fan Intelligence</w:t>
      </w:r>
    </w:p>
    <w:p>
      <w:pPr>
        <w:pBdr>
          <w:bottom w:val="single" w:color="C4893E" w:sz="12" w:space="2"/>
        </w:pBdr>
        <w:spacing w:after="80"/>
      </w:pPr>
      <w:r>
        <w:rPr>
          <w:rFonts w:ascii="Calibri" w:cs="Calibri" w:eastAsia="Calibri" w:hAnsi="Calibri"/>
          <w:i/>
          <w:iCs/>
          <w:color w:val="1F2937"/>
          <w:sz w:val="20"/>
          <w:szCs w:val="20"/>
        </w:rPr>
        <w:t xml:space="preserve">How we hear what fans are actually saying — and turn it into something worth publishing.</w:t>
      </w:r>
    </w:p>
    <w:p>
      <w:pPr>
        <w:spacing w:after="80" w:before="0" w:line="260"/>
        <w:jc w:val="left"/>
      </w:pPr>
      <w:r>
        <w:rPr>
          <w:rFonts w:ascii="Calibri" w:cs="Calibri" w:eastAsia="Calibri" w:hAnsi="Calibri"/>
          <w:b w:val="false"/>
          <w:bCs w:val="false"/>
          <w:i w:val="false"/>
          <w:iCs w:val="false"/>
          <w:color w:val="1F2937"/>
          <w:sz w:val="19"/>
          <w:szCs w:val="19"/>
        </w:rPr>
        <w:t xml:space="preserve">Every other college football site ranks teams on what happens on the field. We also rank what happens around them — fanbase mood, generational divides, the volume of attention, where a narrative is breaking before it hits ESPN. Fan Intelligence is the system that powers it.</w:t>
      </w:r>
    </w:p>
    <w:p>
      <w:pPr>
        <w:pBdr>
          <w:bottom w:val="single" w:color="C4893E" w:sz="6" w:space="2"/>
        </w:pBdr>
        <w:spacing w:after="40" w:before="100"/>
      </w:pPr>
      <w:r>
        <w:rPr>
          <w:rFonts w:ascii="Calibri" w:cs="Calibri" w:eastAsia="Calibri" w:hAnsi="Calibri"/>
          <w:b/>
          <w:bCs/>
          <w:color w:val="1A2F4A"/>
          <w:spacing w:val="30"/>
          <w:sz w:val="19"/>
          <w:szCs w:val="19"/>
        </w:rPr>
        <w:t xml:space="preserve">WHERE THE SIGNAL COMES FROM</w:t>
      </w:r>
    </w:p>
    <w:p>
      <w:pPr>
        <w:spacing w:after="60" w:before="0" w:line="260"/>
        <w:jc w:val="left"/>
      </w:pPr>
      <w:r>
        <w:rPr>
          <w:rFonts w:ascii="Calibri" w:cs="Calibri" w:eastAsia="Calibri" w:hAnsi="Calibri"/>
          <w:b w:val="false"/>
          <w:bCs w:val="false"/>
          <w:i w:val="false"/>
          <w:iCs w:val="false"/>
          <w:color w:val="1F2937"/>
          <w:sz w:val="19"/>
          <w:szCs w:val="19"/>
        </w:rPr>
        <w:t xml:space="preserve">Roughly 170 active sources across four tiers. Tier assignment is strict — it decides whether a number can be published, only aggregated, published as a rank, or only used as a quote.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5724"/>
      </w:tblGrid>
      <w:tr>
        <w:trPr>
          <w:tblHeader/>
        </w:trPr>
        <w:tc>
          <w:tcPr>
            <w:tcW w:type="dxa" w:w="1800"/>
            <w:tcBorders>
              <w:top w:val="single" w:color="D8DEE4" w:sz="4"/>
              <w:left w:val="single" w:color="D8DEE4" w:sz="4"/>
              <w:bottom w:val="single" w:color="D8DEE4" w:sz="4"/>
              <w:right w:val="single" w:color="D8DEE4" w:sz="4"/>
            </w:tcBorders>
            <w:shd w:fill="1A2F4A" w:val="clear"/>
            <w:tcMar>
              <w:top w:type="dxa" w:w="50"/>
              <w:left w:type="dxa" w:w="110"/>
              <w:bottom w:type="dxa" w:w="50"/>
              <w:right w:type="dxa" w:w="110"/>
            </w:tcMar>
          </w:tcPr>
          <w:p>
            <w:pPr>
              <w:spacing w:after="0" w:line="240"/>
            </w:pPr>
            <w:r>
              <w:rPr>
                <w:rFonts w:ascii="Calibri" w:cs="Calibri" w:eastAsia="Calibri" w:hAnsi="Calibri"/>
                <w:b/>
                <w:bCs/>
                <w:color w:val="FFFFFF"/>
                <w:sz w:val="18"/>
                <w:szCs w:val="18"/>
              </w:rPr>
              <w:t xml:space="preserve">Tier</w:t>
            </w:r>
          </w:p>
        </w:tc>
        <w:tc>
          <w:tcPr>
            <w:tcW w:type="dxa" w:w="2700"/>
            <w:tcBorders>
              <w:top w:val="single" w:color="D8DEE4" w:sz="4"/>
              <w:left w:val="single" w:color="D8DEE4" w:sz="4"/>
              <w:bottom w:val="single" w:color="D8DEE4" w:sz="4"/>
              <w:right w:val="single" w:color="D8DEE4" w:sz="4"/>
            </w:tcBorders>
            <w:shd w:fill="1A2F4A" w:val="clear"/>
            <w:tcMar>
              <w:top w:type="dxa" w:w="50"/>
              <w:left w:type="dxa" w:w="110"/>
              <w:bottom w:type="dxa" w:w="50"/>
              <w:right w:type="dxa" w:w="110"/>
            </w:tcMar>
          </w:tcPr>
          <w:p>
            <w:pPr>
              <w:spacing w:after="0" w:line="240"/>
            </w:pPr>
            <w:r>
              <w:rPr>
                <w:rFonts w:ascii="Calibri" w:cs="Calibri" w:eastAsia="Calibri" w:hAnsi="Calibri"/>
                <w:b/>
                <w:bCs/>
                <w:color w:val="FFFFFF"/>
                <w:sz w:val="18"/>
                <w:szCs w:val="18"/>
              </w:rPr>
              <w:t xml:space="preserve">Sources</w:t>
            </w:r>
          </w:p>
        </w:tc>
        <w:tc>
          <w:tcPr>
            <w:tcW w:type="dxa" w:w="5724"/>
            <w:tcBorders>
              <w:top w:val="single" w:color="D8DEE4" w:sz="4"/>
              <w:left w:val="single" w:color="D8DEE4" w:sz="4"/>
              <w:bottom w:val="single" w:color="D8DEE4" w:sz="4"/>
              <w:right w:val="single" w:color="D8DEE4" w:sz="4"/>
            </w:tcBorders>
            <w:shd w:fill="1A2F4A" w:val="clear"/>
            <w:tcMar>
              <w:top w:type="dxa" w:w="50"/>
              <w:left w:type="dxa" w:w="110"/>
              <w:bottom w:type="dxa" w:w="50"/>
              <w:right w:type="dxa" w:w="110"/>
            </w:tcMar>
          </w:tcPr>
          <w:p>
            <w:pPr>
              <w:spacing w:after="0" w:line="240"/>
            </w:pPr>
            <w:r>
              <w:rPr>
                <w:rFonts w:ascii="Calibri" w:cs="Calibri" w:eastAsia="Calibri" w:hAnsi="Calibri"/>
                <w:b/>
                <w:bCs/>
                <w:color w:val="FFFFFF"/>
                <w:sz w:val="18"/>
                <w:szCs w:val="18"/>
              </w:rPr>
              <w:t xml:space="preserve">What we pull &amp; how we use it</w:t>
            </w:r>
          </w:p>
        </w:tc>
      </w:tr>
      <w:tr>
        <w:tc>
          <w:tcPr>
            <w:tcW w:type="dxa" w:w="1800"/>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bCs/>
                <w:color w:val="1A2F4A"/>
                <w:sz w:val="17"/>
                <w:szCs w:val="17"/>
              </w:rPr>
              <w:t xml:space="preserve">A — Numeric</w:t>
            </w:r>
          </w:p>
        </w:tc>
        <w:tc>
          <w:tcPr>
            <w:tcW w:type="dxa" w:w="2700"/>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CFBD, Wikipedia pageviews + edits, SeatGeek, YouTube Data API, Kalshi, Polymarket, GDELT, Spotify Podcast Charts</w:t>
            </w:r>
          </w:p>
        </w:tc>
        <w:tc>
          <w:tcPr>
            <w:tcW w:type="dxa" w:w="5724"/>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Hard, countable signals pulled hourly-to-daily via official APIs. Published as raw numbers with timestamps and sample counts.</w:t>
            </w:r>
          </w:p>
        </w:tc>
      </w:tr>
      <w:tr>
        <w:tc>
          <w:tcPr>
            <w:tcW w:type="dxa" w:w="1800"/>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bCs/>
                <w:color w:val="1A2F4A"/>
                <w:sz w:val="17"/>
                <w:szCs w:val="17"/>
              </w:rPr>
              <w:t xml:space="preserve">B — Aggregate</w:t>
            </w:r>
          </w:p>
        </w:tc>
        <w:tc>
          <w:tcPr>
            <w:tcW w:type="dxa" w:w="2700"/>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Reddit (team, alumni, city, r/CFB), Bluesky firehose + curated handles, YouTube + Twitch comments, Locked On team pods, campus newspapers, Substack, beat-writer RSS, independent message boards</w:t>
            </w:r>
          </w:p>
        </w:tc>
        <w:tc>
          <w:tcPr>
            <w:tcW w:type="dxa" w:w="5724"/>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Continuous text capture of fan conversation. Sentiment and volume roll up to a cohort × week cell with a visible sample size; never a raw percentage below a floor of 30 effective observations.</w:t>
            </w:r>
          </w:p>
        </w:tc>
      </w:tr>
      <w:tr>
        <w:tc>
          <w:tcPr>
            <w:tcW w:type="dxa" w:w="1800"/>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bCs/>
                <w:color w:val="1A2F4A"/>
                <w:sz w:val="17"/>
                <w:szCs w:val="17"/>
              </w:rPr>
              <w:t xml:space="preserve">C — Rank only</w:t>
            </w:r>
          </w:p>
        </w:tc>
        <w:tc>
          <w:tcPr>
            <w:tcW w:type="dxa" w:w="2700"/>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GDELT tone, Google Trends DMA, TikTok creator observations, thin prediction-market contracts</w:t>
            </w:r>
          </w:p>
        </w:tc>
        <w:tc>
          <w:tcPr>
            <w:tcW w:type="dxa" w:w="5724"/>
            <w:tcBorders>
              <w:top w:val="single" w:color="D8DEE4" w:sz="4"/>
              <w:left w:val="single" w:color="D8DEE4" w:sz="4"/>
              <w:bottom w:val="single" w:color="D8DEE4" w:sz="4"/>
              <w:right w:val="single" w:color="D8DEE4" w:sz="4"/>
            </w:tcBorders>
            <w:shd w:fill="FFFFFF"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Directionally useful but noisy. Published as relative ranks or trend arrows, never as a 0–100 value.</w:t>
            </w:r>
          </w:p>
        </w:tc>
      </w:tr>
      <w:tr>
        <w:tc>
          <w:tcPr>
            <w:tcW w:type="dxa" w:w="1800"/>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bCs/>
                <w:color w:val="1A2F4A"/>
                <w:sz w:val="17"/>
                <w:szCs w:val="17"/>
              </w:rPr>
              <w:t xml:space="preserve">D — Editorial</w:t>
            </w:r>
          </w:p>
        </w:tc>
        <w:tc>
          <w:tcPr>
            <w:tcW w:type="dxa" w:w="2700"/>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Finebaum episode metadata, local sports-radio RSS, beat-writer articles, press releases, board pull-quotes, public alumni Pages</w:t>
            </w:r>
          </w:p>
        </w:tc>
        <w:tc>
          <w:tcPr>
            <w:tcW w:type="dxa" w:w="5724"/>
            <w:tcBorders>
              <w:top w:val="single" w:color="D8DEE4" w:sz="4"/>
              <w:left w:val="single" w:color="D8DEE4" w:sz="4"/>
              <w:bottom w:val="single" w:color="D8DEE4" w:sz="4"/>
              <w:right w:val="single" w:color="D8DEE4" w:sz="4"/>
            </w:tcBorders>
            <w:shd w:fill="F6F8FB" w:val="clear"/>
            <w:tcMar>
              <w:top w:type="dxa" w:w="50"/>
              <w:left w:type="dxa" w:w="110"/>
              <w:bottom w:type="dxa" w:w="50"/>
              <w:right w:type="dxa" w:w="110"/>
            </w:tcMar>
          </w:tcPr>
          <w:p>
            <w:pPr>
              <w:spacing w:after="0" w:line="240"/>
            </w:pPr>
            <w:r>
              <w:rPr>
                <w:rFonts w:ascii="Calibri" w:cs="Calibri" w:eastAsia="Calibri" w:hAnsi="Calibri"/>
                <w:b w:val="false"/>
                <w:bCs w:val="false"/>
                <w:color w:val="1F2937"/>
                <w:sz w:val="17"/>
                <w:szCs w:val="17"/>
              </w:rPr>
              <w:t xml:space="preserve">Human voice. Used for attributed quotes and context — always backlinked, with a pseudonymous-only policy for fan quotes.</w:t>
            </w:r>
          </w:p>
        </w:tc>
      </w:tr>
    </w:tbl>
    <w:p>
      <w:pPr>
        <w:spacing w:after="40" w:before="0" w:line="260"/>
        <w:jc w:val="left"/>
      </w:pPr>
      <w:r>
        <w:rPr>
          <w:rFonts w:ascii="Calibri" w:cs="Calibri" w:eastAsia="Calibri" w:hAnsi="Calibri"/>
          <w:b w:val="false"/>
          <w:bCs w:val="false"/>
          <w:i w:val="false"/>
          <w:iCs w:val="false"/>
          <w:color w:val="1F2937"/>
          <w:sz w:val="19"/>
          <w:szCs w:val="19"/>
        </w:rPr>
        <w:t xml:space="preserve"> </w:t>
      </w:r>
    </w:p>
    <w:p>
      <w:pPr>
        <w:pBdr>
          <w:bottom w:val="single" w:color="C4893E" w:sz="6" w:space="2"/>
        </w:pBdr>
        <w:spacing w:after="40" w:before="100"/>
      </w:pPr>
      <w:r>
        <w:rPr>
          <w:rFonts w:ascii="Calibri" w:cs="Calibri" w:eastAsia="Calibri" w:hAnsi="Calibri"/>
          <w:b/>
          <w:bCs/>
          <w:color w:val="1A2F4A"/>
          <w:spacing w:val="30"/>
          <w:sz w:val="19"/>
          <w:szCs w:val="19"/>
        </w:rPr>
        <w:t xml:space="preserve">HOW WE ANALYZE IT</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Cohort-weighted aggregation. </w:t>
      </w:r>
      <w:r>
        <w:rPr>
          <w:rFonts w:ascii="Calibri" w:cs="Calibri" w:eastAsia="Calibri" w:hAnsi="Calibri"/>
          <w:b w:val="false"/>
          <w:bCs w:val="false"/>
          <w:i w:val="false"/>
          <w:iCs w:val="false"/>
          <w:color w:val="1F2937"/>
          <w:sz w:val="19"/>
          <w:szCs w:val="19"/>
        </w:rPr>
        <w:t xml:space="preserve">Every source carries a weight vector across three axes — generation (boomer/Gen X, millennial, Gen Z, college-age), lens (analytics, recruiting, gambling, casual, die-hard, media), and geography (local, national, alumni diaspora, HBCU). An r/CFB post isn't just "Reddit" — it's mostly-millennial, mostly-national, mildly-analytics, and it contributes to those cohort cells in exactly those proportions.</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Effective sample size, not raw counts. </w:t>
      </w:r>
      <w:r>
        <w:rPr>
          <w:rFonts w:ascii="Calibri" w:cs="Calibri" w:eastAsia="Calibri" w:hAnsi="Calibri"/>
          <w:b w:val="false"/>
          <w:bCs w:val="false"/>
          <w:i w:val="false"/>
          <w:iCs w:val="false"/>
          <w:color w:val="1F2937"/>
          <w:sz w:val="19"/>
          <w:szCs w:val="19"/>
        </w:rPr>
        <w:t xml:space="preserve">For each team × cohort × week we sum weighted contributions. Below 30: show a rank or "Awaiting Signal." 30–100: publish with a sample-size badge. Above 100: publish clean. Enforced in the data layer, not the UI — a low-confidence number can't accidentally escape.</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Divergence as a first-class metric. </w:t>
      </w:r>
      <w:r>
        <w:rPr>
          <w:rFonts w:ascii="Calibri" w:cs="Calibri" w:eastAsia="Calibri" w:hAnsi="Calibri"/>
          <w:b w:val="false"/>
          <w:bCs w:val="false"/>
          <w:i w:val="false"/>
          <w:iCs w:val="false"/>
          <w:color w:val="1F2937"/>
          <w:sz w:val="19"/>
          <w:szCs w:val="19"/>
        </w:rPr>
        <w:t xml:space="preserve">Per team × week, the standard deviation of sentiment across qualifying cohorts. High divergence = fragmented fanbase (the call-in show and Gen Z TikTok don't agree — that's a story). Low divergence = real consensus. Rendered as a widget on every team page.</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Row-level provenance. </w:t>
      </w:r>
      <w:r>
        <w:rPr>
          <w:rFonts w:ascii="Calibri" w:cs="Calibri" w:eastAsia="Calibri" w:hAnsi="Calibri"/>
          <w:b w:val="false"/>
          <w:bCs w:val="false"/>
          <w:i w:val="false"/>
          <w:iCs w:val="false"/>
          <w:color w:val="1F2937"/>
          <w:sz w:val="19"/>
          <w:szCs w:val="19"/>
        </w:rPr>
        <w:t xml:space="preserve">Every captured document carries its platform, source ID, tier, adapter version, capture URL, and dedup hash. Any published number traces back to the specific posts that built it.</w:t>
      </w:r>
    </w:p>
    <w:p>
      <w:pPr>
        <w:pBdr>
          <w:bottom w:val="single" w:color="C4893E" w:sz="6" w:space="2"/>
        </w:pBdr>
        <w:spacing w:after="40" w:before="100"/>
      </w:pPr>
      <w:r>
        <w:rPr>
          <w:rFonts w:ascii="Calibri" w:cs="Calibri" w:eastAsia="Calibri" w:hAnsi="Calibri"/>
          <w:b/>
          <w:bCs/>
          <w:color w:val="1A2F4A"/>
          <w:spacing w:val="30"/>
          <w:sz w:val="19"/>
          <w:szCs w:val="19"/>
        </w:rPr>
        <w:t xml:space="preserve">NON-NEGOTIABLE PRINCIPLES</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No fake precision. </w:t>
      </w:r>
      <w:r>
        <w:rPr>
          <w:rFonts w:ascii="Calibri" w:cs="Calibri" w:eastAsia="Calibri" w:hAnsi="Calibri"/>
          <w:b w:val="false"/>
          <w:bCs w:val="false"/>
          <w:i w:val="false"/>
          <w:iCs w:val="false"/>
          <w:color w:val="1F2937"/>
          <w:sz w:val="19"/>
          <w:szCs w:val="19"/>
        </w:rPr>
        <w:t xml:space="preserve">If the math doesn't clear the floor, we don't invent a percentage.</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Editorial is visibly editorial. </w:t>
      </w:r>
      <w:r>
        <w:rPr>
          <w:rFonts w:ascii="Calibri" w:cs="Calibri" w:eastAsia="Calibri" w:hAnsi="Calibri"/>
          <w:b w:val="false"/>
          <w:bCs w:val="false"/>
          <w:i w:val="false"/>
          <w:iCs w:val="false"/>
          <w:color w:val="1F2937"/>
          <w:sz w:val="19"/>
          <w:szCs w:val="19"/>
        </w:rPr>
        <w:t xml:space="preserve">When a human curates, annotates, or transcribes, the page marks it.</w:t>
      </w:r>
    </w:p>
    <w:p>
      <w:pPr>
        <w:pStyle w:val="ListParagraph"/>
        <w:numPr>
          <w:ilvl w:val="0"/>
          <w:numId w:val="2"/>
        </w:numPr>
        <w:spacing w:after="30" w:line="256"/>
      </w:pPr>
      <w:r>
        <w:rPr>
          <w:rFonts w:ascii="Calibri" w:cs="Calibri" w:eastAsia="Calibri" w:hAnsi="Calibri"/>
          <w:b/>
          <w:bCs/>
          <w:i w:val="false"/>
          <w:iCs w:val="false"/>
          <w:color w:val="1A2F4A"/>
          <w:sz w:val="19"/>
          <w:szCs w:val="19"/>
        </w:rPr>
        <w:t xml:space="preserve">Platforms we deliberately skip. </w:t>
      </w:r>
      <w:r>
        <w:rPr>
          <w:rFonts w:ascii="Calibri" w:cs="Calibri" w:eastAsia="Calibri" w:hAnsi="Calibri"/>
          <w:b w:val="false"/>
          <w:bCs w:val="false"/>
          <w:i w:val="false"/>
          <w:iCs w:val="false"/>
          <w:color w:val="1F2937"/>
          <w:sz w:val="19"/>
          <w:szCs w:val="19"/>
        </w:rPr>
        <w:t xml:space="preserve">X/Twitter, paywalled recruiting sites, private Discords, bulk Facebook scraping, and any political or demographic split we can't defend from platform data. Our tier system is as much about what we refuse to include as what we do.</w:t>
      </w:r>
    </w:p>
    <w:p>
      <w:pPr>
        <w:pBdr>
          <w:top w:val="single" w:color="C4893E" w:sz="6" w:space="4"/>
        </w:pBdr>
        <w:spacing w:after="0" w:before="100"/>
        <w:jc w:val="center"/>
      </w:pPr>
      <w:r>
        <w:rPr>
          <w:rFonts w:ascii="Calibri" w:cs="Calibri" w:eastAsia="Calibri" w:hAnsi="Calibri"/>
          <w:i/>
          <w:iCs/>
          <w:color w:val="6B7280"/>
          <w:sz w:val="15"/>
          <w:szCs w:val="15"/>
        </w:rPr>
        <w:t xml:space="preserve">Methodology, source catalog, and cohort weight matrix published at /methodology/fan-intelligence.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 Intelligence — Data Sources &amp; Analysis</dc:title>
  <dc:creator>CFB Index</dc:creator>
  <cp:lastModifiedBy>Un-named</cp:lastModifiedBy>
  <cp:revision>1</cp:revision>
  <dcterms:created xsi:type="dcterms:W3CDTF">2026-04-23T21:07:37.650Z</dcterms:created>
  <dcterms:modified xsi:type="dcterms:W3CDTF">2026-04-23T21:07:37.652Z</dcterms:modified>
</cp:coreProperties>
</file>

<file path=docProps/custom.xml><?xml version="1.0" encoding="utf-8"?>
<Properties xmlns="http://schemas.openxmlformats.org/officeDocument/2006/custom-properties" xmlns:vt="http://schemas.openxmlformats.org/officeDocument/2006/docPropsVTypes"/>
</file>