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word/theme/theme1.xml" ContentType="application/vnd.openxmlformats-officedocument.theme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2" Type="http://schemas.openxmlformats.org/officeDocument/2006/relationships/extended-properties" Target="docProps/app.xml" /><Relationship Id="rId0" Type="http://schemas.openxmlformats.org/officeDocument/2006/relationships/officeDocument" Target="word/document.xml" /><Relationship Id="rId1" Type="http://schemas.openxmlformats.org/package/2006/relationships/metadata/core-properties" Target="docProps/core.xml" /></Relationships>
</file>

<file path=word/document.xml><?xml version="1.0" encoding="utf-8"?>
<w:document xmlns:w="http://schemas.openxmlformats.org/wordprocessingml/2006/main" xmlns:w14="http://schemas.microsoft.com/office/word/2010/wordml" xmlns:mc="http://schemas.openxmlformats.org/markup-compatibility/2006" mc:Ignorable="w14">
  <w:body>
    <w:p w14:paraId="5380078B">
      <w:pPr>
        <w:keepNext w:val="1"/>
        <w:keepLines w:val="1"/>
        <w:spacing w:before="100" w:beforeAutospacing="1" w:after="100" w:afterAutospacing="1"/>
        <w:outlineLvl w:val="0"/>
        <w:rPr>
          <w:kern w:val="44"/>
          <w:sz w:val="44"/>
          <w:szCs w:val="44"/>
        </w:rPr>
      </w:pPr>
      <w:r>
        <w:rPr>
          <w:rFonts w:hint="eastAsia"/>
          <w:b w:val="1"/>
          <w:sz w:val="44"/>
        </w:rPr>
        <w:t>三、模型假设</w:t>
      </w:r>
    </w:p>
    <w:p w14:paraId="2C3DCBEC">
      <w:pPr>
        <w:ind w:firstLineChars="200" w:firstLine="240"/>
      </w:pPr>
      <w:r>
        <w:rPr>
          <w:rFonts w:hint="eastAsia"/>
        </w:rPr>
        <w:t>微网与外部电网的调控涉及诸多物理与实际因素，为使问题在数学上可解、同时尽量贴合实际，本文结合题目条件作出以下假设。</w:t>
      </w:r>
    </w:p>
    <w:p w14:paraId="39F2ABCF">
      <w:pPr>
        <w:ind w:firstLineChars="200" w:firstLine="240"/>
      </w:pPr>
      <w:r>
        <w:rPr>
          <w:rFonts w:hint="eastAsia"/>
        </w:rPr>
        <w:t>（1）外网购电是瞬时完成的。微网只要出现电力缺口，就可以立即从外部电网购入所需电量，且购得的电量当即可用，即"缺了就买、买了就有"。外网购电环节不存在传输延时、功率爬坡限制与容量限制，购电量可在当前时段即时到账并参与当期的电量平衡。这一假设是紧急购电机制得以成立的前提。</w:t>
      </w:r>
    </w:p>
    <w:p w14:paraId="31774095">
      <w:pPr>
        <w:ind w:firstLineChars="200" w:firstLine="240"/>
      </w:pPr>
      <w:r>
        <w:rPr>
          <w:rFonts w:hint="eastAsia"/>
        </w:rPr>
        <w:t>（2）时段内功率恒定，模型采用全电量制。每个 10 分钟时段内，小区负荷、光伏发电功率与外网购电功率均视为恒定不变；所有能量统一表示为该时段内的电量（kWh），附件中以 kW 给出的功率按 Δt = 1/6 h 折算，单时段充放电量上限相应由 5000 kW 折算为 833.3333 kWh。</w:t>
      </w:r>
    </w:p>
    <w:p w14:paraId="1E139348">
      <w:pPr>
        <w:ind w:firstLineChars="200" w:firstLine="240"/>
      </w:pPr>
      <w:r>
        <w:rPr>
          <w:rFonts w:hint="eastAsia"/>
        </w:rPr>
        <w:t>（3）忽略输配电损失，光伏优先就地消纳。外网到微网以及微网内部的输配电损耗忽略不计，购得电量可全部用于供给负荷或为储能充电；光伏出力先供给小区负荷，余量用于储能充电，若余量超出储能的可接纳能力，超出部分按弃光处理，不计收益也不计成本。</w:t>
      </w:r>
    </w:p>
    <w:p w14:paraId="3825EAF2">
      <w:pPr>
        <w:ind w:firstLineChars="200" w:firstLine="240"/>
      </w:pPr>
      <w:r>
        <w:rPr>
          <w:rFonts w:hint="eastAsia"/>
        </w:rPr>
        <w:t>（4）储能设备特性恒定且充放电互斥。充、放电效率分别恒为 0.90，不随储电量水平、温度或使用年限变化，不考虑自放电、容量衰减与充放电次数对设备寿命的影响；每个时段储能只处于充电、放电或静置三种状态之一，不会同时充放电。</w:t>
      </w:r>
    </w:p>
    <w:p w14:paraId="6E49108F">
      <w:pPr>
        <w:ind w:firstLineChars="200" w:firstLine="240"/>
      </w:pPr>
      <w:r>
        <w:rPr>
          <w:rFonts w:hint="eastAsia"/>
        </w:rPr>
        <w:t>（5）储电量运行边界约束。储能设备的最大容量为 12000 kWh，运行过程中储电量始终保持在 1200～10800 kWh 之间，单时段充电量与放电量均不超过 833.3333 kWh。</w:t>
      </w:r>
    </w:p>
    <w:p w14:paraId="2EDCF65B">
      <w:pPr>
        <w:ind w:firstLineChars="200" w:firstLine="240"/>
      </w:pPr>
      <w:r>
        <w:rPr>
          <w:rFonts w:hint="eastAsia"/>
        </w:rPr>
        <w:t>（6）计划与场景阶段严格遵循因果隔离。制定购电计划、构造预测与生成场景时，只使用决策时刻之前已经获得的信息，不使用当天尚未发生的实际负荷与实际光伏；用于构造场景的历史残差，也一律按该历史日当时可获得的信息重新计算。</w:t>
      </w:r>
    </w:p>
    <w:p w14:paraId="60247492">
      <w:pPr>
        <w:ind w:firstLineChars="200" w:firstLine="240"/>
      </w:pPr>
      <w:r>
        <w:rPr>
          <w:rFonts w:hint="eastAsia"/>
        </w:rPr>
        <w:t>（7）负荷与光伏预测方法假设。问题二与问题三中，负荷由最近 3 个同类历史日（周五、周六为低负荷类）按距离加权平均预测，光伏由最近 3 个历史日按距离加权平均预测，两者再以最近 30 个历史日的滚动平均偏差作修正；问题三还可进一步使用附件 3 发布的正式光伏预报。</w:t>
      </w:r>
    </w:p>
    <w:p w14:paraId="43DCBECE">
      <w:pPr>
        <w:ind w:firstLineChars="200" w:firstLine="240"/>
      </w:pPr>
      <w:r>
        <w:rPr>
          <w:rFonts w:hint="eastAsia"/>
        </w:rPr>
        <w:t>（8）附件 3 的整点预报为整点时刻的瞬时点预测。附件 3 给出的是发布时刻之后第 1 至第 24 个整点的光伏功率预测值，而非整小时的平均功率；将其展开到 10 分钟粒度时采用相邻两个整点预报的线性插值，取两端点预报的均值作为中间一小时的等效功率。</w:t>
      </w:r>
    </w:p>
    <w:p w14:paraId="0B5DC205">
      <w:pPr>
        <w:ind w:firstLineChars="200" w:firstLine="240"/>
      </w:pPr>
      <w:r>
        <w:rPr>
          <w:rFonts w:hint="eastAsia"/>
        </w:rPr>
        <w:t>（9）场景等权。由配对的负荷、光伏样本外残差构成的各情景等概率出现，每个情景的概率均为 1/M。</w:t>
      </w:r>
    </w:p>
    <w:p w14:paraId="6C5C5667">
      <w:pPr>
        <w:ind w:firstLineChars="200" w:firstLine="240"/>
      </w:pPr>
      <w:r>
        <w:rPr>
          <w:rFonts w:hint="eastAsia"/>
        </w:rPr>
        <w:t>（10）跨日储电量连续传递并计入终端价值。问题二至问题四中，当日 24:00 的储电量即为次日 0:00 的储电量；为避免日末为压低当日费用而将储能放空，计划阶段的目标函数给日末剩余电量赋予一项终端续存价值。</w:t>
      </w:r>
    </w:p>
    <w:p w14:paraId="4C80F88B">
      <w:pPr>
        <w:ind w:firstLineChars="200" w:firstLine="240"/>
      </w:pPr>
      <w:r>
        <w:rPr>
          <w:rFonts w:hint="eastAsia"/>
        </w:rPr>
        <w:t>（11）数据可靠性与预热期处理。附件提供的电价、小区负荷与光伏发电数据真实可靠，个别缺失或异常值按简单原则处理，不影响数据的整体结构；2025 年 1 月 1 日 0:00 的储电量取为 6000 kWh，2025 年 1 月作为预测与场景的预热样本期，其调度结果不计入全年费用统计。</w:t>
      </w:r>
    </w:p>
    <w:p w14:paraId="6EC8DD18"/>
    <w:sectPr/>
  </w:body>
</w:document>
</file>

<file path=word/fontTable.xml><?xml version="1.0" encoding="utf-8"?>
<w:fonts xmlns:w="http://schemas.openxmlformats.org/wordprocessingml/2006/main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w="http://schemas.openxmlformats.org/wordprocessingml/2006/main">
  <w:zoom w:val="bestFit" w:percent="100"/>
  <w:defaultTabStop w:val="420"/>
  <w:compat>
    <w:spaceForUL w:val="1"/>
    <w:balanceSingleByteDoubleByteWidth w:val="1"/>
    <w:doNotLeaveBackslashAlone w:val="1"/>
    <w:ulTrailSpace w:val="1"/>
    <w:doNotExpandShiftReturn w:val="1"/>
    <w:adjustLineHeightInTable w:val="1"/>
    <w:useFELayout w:val="1"/>
  </w:compat>
</w:settings>
</file>

<file path=word/styles.xml><?xml version="1.0" encoding="utf-8"?>
<w:styles xmlns:w="http://schemas.openxmlformats.org/wordprocessingml/2006/main">
  <w:docDefaults>
    <w:rPrDefault>
      <w:rPr>
        <w:rFonts w:ascii="SimSun" w:hAnsi="SimSun" w:eastAsia="SimSun"/>
        <w:sz w:val="24"/>
        <w:szCs w:val="24"/>
      </w:rPr>
    </w:rPrDefault>
    <w:pPrDefault>
      <w:pPr>
        <w:spacing w:line="360" w:lineRule="auto"/>
      </w:pPr>
    </w:pPrDefault>
  </w:docDefaults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0" Type="http://schemas.openxmlformats.org/officeDocument/2006/relationships/styles" Target="styles.xml" /><Relationship Id="rId2" Type="http://schemas.openxmlformats.org/officeDocument/2006/relationships/fontTable" Target="fontTable.xml" /><Relationship Id="rId3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Tencent office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2026-09-12T12:00:20Z</dcterms:created>
  <dcterms:modified xsi:type="dcterms:W3CDTF">2026-09-12T12:00:20Z</dcterms:modified>
</cp:coreProperties>
</file>