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00"/>
        <w:jc w:val="center"/>
      </w:pPr>
      <w:r>
        <w:rPr>
          <w:rFonts w:ascii="Times New Roman" w:hAnsi="Times New Roman" w:eastAsia="宋体"/>
          <w:b/>
          <w:i w:val="0"/>
          <w:sz w:val="30"/>
        </w:rPr>
        <w:t>三、模型假设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研究的微网由小区负荷、屋顶光伏、储能设备与外部电网四部分组成，其调控同时涉及设备物理特性、信息获取边界与市场交易规则。为使问题在数学上可解、同时尽量贴合实际，结合题目条件与附录给出的设备参数，本文按重要性保留以下六条核心假设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（1）外网购电瞬时完成。</w:t>
      </w:r>
      <w:r>
        <w:rPr>
          <w:rFonts w:ascii="Times New Roman" w:hAnsi="Times New Roman" w:eastAsia="宋体"/>
          <w:b w:val="0"/>
          <w:i w:val="0"/>
          <w:sz w:val="24"/>
        </w:rPr>
        <w:t>微网一旦出现供电缺口，即可立即从外部电网购入所需电量，且购得电量当即可用，即"缺了就买、买了就有"。外网购电环节不存在传输延时、功率爬坡限制与容量限制，购电量可在当期即时到账并直接参与当期电量平衡。该假设是题目所设"供电不足时按 5 倍价紧急购电"这一机制得以成立的前提。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（2）时段内功率恒定，全程采用全电量制。</w:t>
      </w:r>
      <w:r>
        <w:rPr>
          <w:rFonts w:ascii="Times New Roman" w:hAnsi="Times New Roman" w:eastAsia="宋体"/>
          <w:b w:val="0"/>
          <w:i w:val="0"/>
          <w:sz w:val="24"/>
        </w:rPr>
        <w:t>每个 10 分钟时段内小区的负荷、光伏出力与外网购电功率均视为恒定，所有能量统一以时段电量（kWh）表示；附件中以 kW 给出的功率按 Δ</w:t>
      </w:r>
      <w:r>
        <w:rPr>
          <w:rFonts w:ascii="Times New Roman" w:hAnsi="Times New Roman" w:eastAsia="宋体"/>
          <w:b w:val="0"/>
          <w:i/>
          <w:sz w:val="24"/>
        </w:rPr>
        <w:t>t</w:t>
      </w:r>
      <w:r>
        <w:rPr>
          <w:rFonts w:ascii="Times New Roman" w:hAnsi="Times New Roman" w:eastAsia="宋体"/>
          <w:b w:val="0"/>
          <w:i w:val="0"/>
          <w:sz w:val="24"/>
        </w:rPr>
        <w:t xml:space="preserve"> = 1/6 h 折算为电量。由此，附录中 5000 kW 的最大充放电功率对应单时段充放电量上限 </w:t>
      </w:r>
      <w:r>
        <w:rPr>
          <w:rFonts w:ascii="Times New Roman" w:hAnsi="Times New Roman" w:eastAsia="宋体"/>
          <w:b w:val="0"/>
          <w:i/>
          <w:sz w:val="24"/>
        </w:rPr>
        <w:t>S</w:t>
      </w:r>
      <w:r>
        <w:rPr>
          <w:rFonts w:ascii="Times New Roman" w:hAnsi="Times New Roman" w:eastAsia="宋体"/>
          <w:b w:val="0"/>
          <w:i w:val="0"/>
          <w:sz w:val="24"/>
        </w:rPr>
        <w:t xml:space="preserve"> = 833.3333 kWh。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（3）储能特性恒定，且储电量始终运行在给定边界内。</w:t>
      </w:r>
      <w:r>
        <w:rPr>
          <w:rFonts w:ascii="Times New Roman" w:hAnsi="Times New Roman" w:eastAsia="宋体"/>
          <w:b w:val="0"/>
          <w:i w:val="0"/>
          <w:sz w:val="24"/>
        </w:rPr>
        <w:t>充、放电效率分别恒为 0.90（往返效率 0.81），不随储电量水平、温度与使用年限变化，不计自放电、容量衰减与循环寿命损耗；储能最大容量为 12000 kWh，运行过程中储电量保持在 1200～10800 kWh 之间。每个时段储能只可能处于充电、放电或静置三种状态之一，不会同时充放电——这一点并非人为限定，而是往返效率小于 1 的必然结果，本文在 5.1 节以引理形式给出证明。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（4）忽略输配电损耗，光伏优先就地消纳且不向外部电网售电。</w:t>
      </w:r>
      <w:r>
        <w:rPr>
          <w:rFonts w:ascii="Times New Roman" w:hAnsi="Times New Roman" w:eastAsia="宋体"/>
          <w:b w:val="0"/>
          <w:i w:val="0"/>
          <w:sz w:val="24"/>
        </w:rPr>
        <w:t>外网至微网及微网内部的输配电损耗忽略不计，购得电量可全部用于供给负荷或为储能充电；光伏出力优先供给小区负荷，余量用于储能充电，若余量超过储能当期的可接纳能力，超出部分按弃光处理，不计收益也不计成本。题目只规定了购电与紧急购电，未设置售电收益项，故本文不考虑向外部电网售电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（5）计划与情景阶段严格遵循因果隔离。</w:t>
      </w:r>
      <w:r>
        <w:rPr>
          <w:rFonts w:ascii="Times New Roman" w:hAnsi="Times New Roman" w:eastAsia="宋体"/>
          <w:b w:val="0"/>
          <w:i w:val="0"/>
          <w:sz w:val="24"/>
        </w:rPr>
        <w:t>制定购电计划、构造预测与生成情景时，只使用决策时刻之前已经获得的信息，不使用当天尚未发生的实际负荷与实际光伏；用于构造情景的历史残差，一律按该历史日当时可获得的信息重新计算，不以事后实际值替代当时的预测值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（6）储电量跨日连续传递并计入终端续存价值。</w:t>
      </w:r>
      <w:r>
        <w:rPr>
          <w:rFonts w:ascii="Times New Roman" w:hAnsi="Times New Roman" w:eastAsia="宋体"/>
          <w:b w:val="0"/>
          <w:i w:val="0"/>
          <w:sz w:val="24"/>
        </w:rPr>
        <w:t>问题二至问题四中，当日 24:00 的储电量即为次日 0:00 的储电量，储能状态在考核期内连续传递；为避免模型为压低当日费用而在日末将储能放空，计划阶段的目标函数对日末剩余电量赋予一项续存价值。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其余与具体模型耦合的技术性处理（如附件 3 整点光伏预报的 10 分钟展开方式、情景等权、2025 年 1 月作为预热期），本文在相应章节随文说明，不在此单列为假设。</w:t>
      </w:r>
    </w:p>
    <w:sectPr w:rsidR="00FC693F" w:rsidRPr="0006063C" w:rsidSect="00034616">
      <w:pgSz w:w="12240" w:h="15840"/>
      <w:pgMar w:top="1440" w:right="1531" w:bottom="144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