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200"/>
        <w:jc w:val="center"/>
      </w:pPr>
      <w:r>
        <w:rPr>
          <w:rFonts w:ascii="Times New Roman" w:hAnsi="Times New Roman" w:eastAsia="宋体"/>
          <w:b/>
          <w:i w:val="0"/>
          <w:sz w:val="30"/>
        </w:rPr>
        <w:t>四、符号说明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为便于叙述并保持四个问题之间的口径统一，本文对全部模型使用同一套符号体系。表 1 列出问题一至问题四共用的主要全局变量及其含义与单位；下标 </w:t>
      </w:r>
      <w:r>
        <w:rPr>
          <w:rFonts w:ascii="Times New Roman" w:hAnsi="Times New Roman" w:eastAsia="宋体"/>
          <w:b w:val="0"/>
          <w:i/>
          <w:sz w:val="24"/>
        </w:rPr>
        <w:t>d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Times New Roman" w:hAnsi="Times New Roman" w:eastAsia="宋体"/>
          <w:b w:val="0"/>
          <w:i/>
          <w:sz w:val="24"/>
        </w:rPr>
        <w:t>t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Times New Roman" w:hAnsi="Times New Roman" w:eastAsia="宋体"/>
          <w:b w:val="0"/>
          <w:i/>
          <w:sz w:val="24"/>
        </w:rPr>
        <w:t>ω</w:t>
      </w:r>
      <w:r>
        <w:rPr>
          <w:rFonts w:ascii="Times New Roman" w:hAnsi="Times New Roman" w:eastAsia="宋体"/>
          <w:b w:val="0"/>
          <w:i w:val="0"/>
          <w:sz w:val="24"/>
        </w:rPr>
        <w:t xml:space="preserve"> 分别表示运行日、日内时段与情景，如无特别说明，各量的下标从略。仅在单问内部临时使用、随文就地说明的中间量不再列入。为便于阅读，说明按"索引与集合—固定参数—决策变量—预测与情景—价值函数与执行器—费用"的顺序排列。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　符号说明表</w:t>
      </w:r>
    </w:p>
    <w:tbl>
      <w:tblPr>
        <w:tblW w:w="8845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417"/>
        <w:gridCol w:w="6463"/>
        <w:gridCol w:w="963"/>
      </w:tblGrid>
      <w:tr>
        <w:trPr>
          <w:cantSplit/>
          <w:tblHeader/>
        </w:trPr>
        <w:tc>
          <w:tcPr>
            <w:tcW w:type="dxa" w:w="1417"/>
            <w:tcBorders>
              <w:bottom w:val="single" w:sz="8" w:space="0" w:color="000000"/>
            </w:tcBorders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符号</w:t>
            </w:r>
          </w:p>
        </w:tc>
        <w:tc>
          <w:tcPr>
            <w:tcW w:type="dxa" w:w="6463"/>
            <w:tcBorders>
              <w:bottom w:val="single" w:sz="8" w:space="0" w:color="000000"/>
            </w:tcBorders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964"/>
            <w:tcBorders>
              <w:bottom w:val="single" w:sz="8" w:space="0" w:color="000000"/>
            </w:tcBorders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t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日内时段索引，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t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= 1, 2, …, 144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d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运行日索引，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d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= 1 对应 2025 年 2 月 1 日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h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光伏预报发布与计划调整时刻，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h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∈ {0, 6, 12, 18}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ω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情景索引；情景概率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π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= 1/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M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，情景总数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M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≤ 30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p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t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附件 1 给出的时段电价（用于问题一至问题三）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元/kWh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附件 4 给出的实时电价（仅用于问题四）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元/kWh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L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小区负荷电量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V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光伏发电电量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η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η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充电、放电效率，均为 0.90（往返效率 0.81）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S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单时段充、放电量上限，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S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= 833.3333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min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max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储电量运行下界、上界（1200 与 10800）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0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考核期起始时刻的储电量，取 6000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v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日末剩余单位电量的跨日续存价值系数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元/kWh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g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perscript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0:00 依据首次预报制定的原始计划购电量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g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perscript"/>
              </w:rPr>
              <w:t>eff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经过日内调整后最终生效的购电量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d,t,ω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储能充电量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D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d,t,ω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储能放电量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b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d,t,ω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紧急购电量，按交易时刻电价的 5 倍计价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U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d,t,ω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未被利用的总供能量（弃光电量与已购未用的计划电量），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U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≥ 0 无上界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d,t,ω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时段末的储电量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perscript"/>
              </w:rPr>
              <w:t>+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, Δ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perscript"/>
              </w:rPr>
              <w:t>−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最终生效购电量相对 0:00 原始计划的上调量、下调量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L̂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V̂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小区负荷、光伏发电的预测电量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N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d,t,ω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情景中的净负荷电量，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N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L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−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V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F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d,h,k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附件 3 给出的第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k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小时光伏功率预报值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w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附件 3 正式预报在光伏组合预测中的权重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F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t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)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问题一的连续状态价值函数（储电量为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时的最优余下费用）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H̄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)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问题二、问题三的情景平均价值函数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R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bscript"/>
              </w:rPr>
              <w:t>d,t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动态保留水平（储电量低于该水平时不再放电）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kWh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perscript"/>
              </w:rPr>
              <w:t>plan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C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perscript"/>
              </w:rPr>
              <w:t>emg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eastAsia="宋体"/>
                <w:b w:val="0"/>
                <w:i/>
                <w:sz w:val="21"/>
              </w:rPr>
              <w:t>C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perscript"/>
              </w:rPr>
              <w:t>adj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计划购电费、紧急购电费、调整购电费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/>
                <w:sz w:val="21"/>
              </w:rPr>
              <w:t>C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  <w:vertAlign w:val="superscript"/>
              </w:rPr>
              <w:t>total</w:t>
            </w:r>
          </w:p>
        </w:tc>
        <w:tc>
          <w:tcPr>
            <w:tcW w:type="dxa" w:w="6463"/>
          </w:tcPr>
          <w:p>
            <w:pPr>
              <w:spacing w:line="240" w:lineRule="auto" w:before="30" w:after="3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全年购电总费用</w:t>
            </w:r>
          </w:p>
        </w:tc>
        <w:tc>
          <w:tcPr>
            <w:tcW w:type="dxa" w:w="964"/>
          </w:tcPr>
          <w:p>
            <w:pPr>
              <w:spacing w:line="240" w:lineRule="auto" w:before="30" w:after="3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</w:t>
            </w:r>
          </w:p>
        </w:tc>
      </w:tr>
    </w:tbl>
    <w:p>
      <w:pPr>
        <w:spacing w:line="240" w:lineRule="auto" w:before="40" w:after="160"/>
        <w:jc w:val="both"/>
      </w:pPr>
      <w:r>
        <w:rPr>
          <w:rFonts w:ascii="Times New Roman" w:hAnsi="Times New Roman" w:eastAsia="宋体"/>
          <w:b w:val="0"/>
          <w:i w:val="0"/>
          <w:sz w:val="18"/>
        </w:rPr>
        <w:t>注：表 1 按三线表排版。</w:t>
      </w:r>
      <w:r>
        <w:rPr>
          <w:rFonts w:ascii="Times New Roman" w:hAnsi="Times New Roman" w:eastAsia="宋体"/>
          <w:b w:val="0"/>
          <w:i/>
          <w:sz w:val="18"/>
        </w:rPr>
        <w:t>p</w:t>
      </w:r>
      <w:r>
        <w:rPr>
          <w:rFonts w:ascii="Times New Roman" w:hAnsi="Times New Roman" w:eastAsia="宋体"/>
          <w:b w:val="0"/>
          <w:i w:val="0"/>
          <w:sz w:val="18"/>
          <w:vertAlign w:val="subscript"/>
        </w:rPr>
        <w:t>t</w:t>
      </w:r>
      <w:r>
        <w:rPr>
          <w:rFonts w:ascii="Times New Roman" w:hAnsi="Times New Roman" w:eastAsia="宋体"/>
          <w:b w:val="0"/>
          <w:i w:val="0"/>
          <w:sz w:val="18"/>
        </w:rPr>
        <w:t xml:space="preserve"> 为附件 1 给出的固定电价，用于问题一至问题三；</w:t>
      </w:r>
      <w:r>
        <w:rPr>
          <w:rFonts w:ascii="Times New Roman" w:hAnsi="Times New Roman" w:eastAsia="宋体"/>
          <w:b w:val="0"/>
          <w:i/>
          <w:sz w:val="18"/>
        </w:rPr>
        <w:t>c</w:t>
      </w:r>
      <w:r>
        <w:rPr>
          <w:rFonts w:ascii="Times New Roman" w:hAnsi="Times New Roman" w:eastAsia="宋体"/>
          <w:b w:val="0"/>
          <w:i w:val="0"/>
          <w:sz w:val="18"/>
          <w:vertAlign w:val="subscript"/>
        </w:rPr>
        <w:t>d,t</w:t>
      </w:r>
      <w:r>
        <w:rPr>
          <w:rFonts w:ascii="Times New Roman" w:hAnsi="Times New Roman" w:eastAsia="宋体"/>
          <w:b w:val="0"/>
          <w:i w:val="0"/>
          <w:sz w:val="18"/>
        </w:rPr>
        <w:t xml:space="preserve"> 为附件 4 给出的实时电价，仅用于问题四，两者来源与数值均不相同，不得混用。上标 ·</w:t>
      </w:r>
      <w:r>
        <w:rPr>
          <w:rFonts w:ascii="Times New Roman" w:hAnsi="Times New Roman" w:eastAsia="宋体"/>
          <w:b w:val="0"/>
          <w:i w:val="0"/>
          <w:sz w:val="18"/>
          <w:vertAlign w:val="superscript"/>
        </w:rPr>
        <w:t>0</w:t>
      </w:r>
      <w:r>
        <w:rPr>
          <w:rFonts w:ascii="Times New Roman" w:hAnsi="Times New Roman" w:eastAsia="宋体"/>
          <w:b w:val="0"/>
          <w:i w:val="0"/>
          <w:sz w:val="18"/>
        </w:rPr>
        <w:t xml:space="preserve"> 表示 0:00 制定的原始计划，·</w:t>
      </w:r>
      <w:r>
        <w:rPr>
          <w:rFonts w:ascii="Times New Roman" w:hAnsi="Times New Roman" w:eastAsia="宋体"/>
          <w:b w:val="0"/>
          <w:i w:val="0"/>
          <w:sz w:val="18"/>
          <w:vertAlign w:val="superscript"/>
        </w:rPr>
        <w:t>eff</w:t>
      </w:r>
      <w:r>
        <w:rPr>
          <w:rFonts w:ascii="Times New Roman" w:hAnsi="Times New Roman" w:eastAsia="宋体"/>
          <w:b w:val="0"/>
          <w:i w:val="0"/>
          <w:sz w:val="18"/>
        </w:rPr>
        <w:t xml:space="preserve"> 表示最终生效值，·</w:t>
      </w:r>
      <w:r>
        <w:rPr>
          <w:rFonts w:ascii="Times New Roman" w:hAnsi="Times New Roman" w:eastAsia="宋体"/>
          <w:b w:val="0"/>
          <w:i w:val="0"/>
          <w:sz w:val="18"/>
          <w:vertAlign w:val="superscript"/>
        </w:rPr>
        <w:t>act</w:t>
      </w:r>
      <w:r>
        <w:rPr>
          <w:rFonts w:ascii="Times New Roman" w:hAnsi="Times New Roman" w:eastAsia="宋体"/>
          <w:b w:val="0"/>
          <w:i w:val="0"/>
          <w:sz w:val="18"/>
        </w:rPr>
        <w:t xml:space="preserve"> 表示实际观测值。变量为斜体、下标为正体；其余随文出现的一次性中间量（如预报发布序号、回归残差等）在首次出现处就近说明。</w:t>
      </w:r>
    </w:p>
    <w:sectPr w:rsidR="00FC693F" w:rsidRPr="0006063C" w:rsidSect="00034616">
      <w:pgSz w:w="12240" w:h="15840"/>
      <w:pgMar w:top="1440" w:right="1531" w:bottom="1440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