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00"/>
      </w:pPr>
      <w:r>
        <w:rPr>
          <w:rFonts w:ascii="Calibri" w:hAnsi="Calibri" w:eastAsia="Calibri"/>
          <w:b/>
          <w:i w:val="0"/>
          <w:color w:val="2E74B5"/>
          <w:sz w:val="20"/>
        </w:rPr>
        <w:t>СТРАТЕГИЧЕСКИЙ ОТЧЁТ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0B2545"/>
          <w:sz w:val="50"/>
        </w:rPr>
        <w:t>Цели и приоритетные поисковые запросы MetricHit</w:t>
      </w:r>
    </w:p>
    <w:p>
      <w:pPr>
        <w:spacing w:after="320"/>
      </w:pPr>
      <w:r>
        <w:rPr>
          <w:rFonts w:ascii="Calibri" w:hAnsi="Calibri" w:eastAsia="Calibri"/>
          <w:b w:val="0"/>
          <w:i w:val="0"/>
          <w:color w:val="5D6773"/>
          <w:sz w:val="26"/>
        </w:rPr>
        <w:t>Как выбирать ключи по ожидаемой экономической ценности, а не по объёму трафика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202124"/>
          <w:sz w:val="21"/>
        </w:rPr>
        <w:t xml:space="preserve">Дата: </w:t>
      </w:r>
      <w:r>
        <w:rPr>
          <w:rFonts w:ascii="Calibri" w:hAnsi="Calibri" w:eastAsia="Calibri"/>
          <w:b w:val="0"/>
          <w:i w:val="0"/>
          <w:color w:val="202124"/>
          <w:sz w:val="21"/>
        </w:rPr>
        <w:t>13 августа 2026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202124"/>
          <w:sz w:val="21"/>
        </w:rPr>
        <w:t xml:space="preserve">Объект: </w:t>
      </w:r>
      <w:r>
        <w:rPr>
          <w:rFonts w:ascii="Calibri" w:hAnsi="Calibri" w:eastAsia="Calibri"/>
          <w:b w:val="0"/>
          <w:i w:val="0"/>
          <w:color w:val="202124"/>
          <w:sz w:val="21"/>
        </w:rPr>
        <w:t>Поисковое привлечение новых пользователей MetricHit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202124"/>
          <w:sz w:val="21"/>
        </w:rPr>
        <w:t xml:space="preserve">Горизонт: </w:t>
      </w:r>
      <w:r>
        <w:rPr>
          <w:rFonts w:ascii="Calibri" w:hAnsi="Calibri" w:eastAsia="Calibri"/>
          <w:b w:val="0"/>
          <w:i w:val="0"/>
          <w:color w:val="202124"/>
          <w:sz w:val="21"/>
        </w:rPr>
        <w:t>Первый цикл: 90 дней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202124"/>
          <w:sz w:val="21"/>
        </w:rPr>
        <w:t xml:space="preserve">Статус: </w:t>
      </w:r>
      <w:r>
        <w:rPr>
          <w:rFonts w:ascii="Calibri" w:hAnsi="Calibri" w:eastAsia="Calibri"/>
          <w:b w:val="0"/>
          <w:i w:val="0"/>
          <w:color w:val="202124"/>
          <w:sz w:val="21"/>
        </w:rPr>
        <w:t>Стратегическая версия; количественная валидация частотности и конверсий обязательна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7A5A00"/>
                <w:sz w:val="21"/>
              </w:rPr>
              <w:t>Главное решение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02124"/>
                <w:sz w:val="21"/>
              </w:rPr>
              <w:t>Считать основной целью не позицию, не трафик и не клик по кнопке, а первый оплаченный баланс нового пользователя, атрибутированный к поисковому запросу. Первые темы продвижения: выбор сервиса, цена, самостоятельный запуск и работа с несколькими проектами.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1. Рамка анализа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Отчёт построен без привязки к конкретному сайту публикации. Единицей планирования является не площадка, а поисковая цель: отдельный кластер запросов, единый интент пользователя, одна релевантная страница и одно измеримое следующее действие.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Текущая оценка ключей является стратегической, а не статистическим прогнозом. Доступная семантика позволяет определить коммерческую близость и очередность тестов, но точную прибыльность нельзя честно рассчитать без частотности Wordstat, текущих позиций, стоимости продвижения и фактической конверсии в оплату.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2. Что именно считать целями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2.1. Иерархия целей бизнеса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050"/>
        <w:gridCol w:w="3100"/>
        <w:gridCol w:w="3560"/>
      </w:tblGrid>
      <w:tr>
        <w:trPr>
          <w:tblHeader w:val="true"/>
          <w:cantSplit w:val="true"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Код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Цель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Факт достижения</w:t>
            </w:r>
          </w:p>
        </w:tc>
        <w:tc>
          <w:tcPr>
            <w:tcW w:type="dxa" w:w="3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Роль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G1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Первое пополнение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Новый пользователь внёс деньги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Главная денежная конверсия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G2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Первый активный проект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Создан проект и запущена работа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Показывает реальное использование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G3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Повторное пополнение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Пользователь вернулся и снова оплатил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Подтверждает ценность и LTV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G4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Регистрация завершена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Создан аккаунт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Основная лид-конверсия, но ещё не выручка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G5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Контакт с поддержкой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Запрошен бонус или помощь с запуском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Сильный сигнал намерения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G6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Переход к сервису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Клик со страницы привлечения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Микроконверсия для диагностики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1F4D78"/>
                <w:sz w:val="21"/>
              </w:rPr>
              <w:t>North Star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02124"/>
                <w:sz w:val="21"/>
              </w:rPr>
              <w:t>Валовая маржа от новых пользователей, привлечённых из поиска. Пока маржа и повторные платежи не связаны с источником, рабочий заменитель — сумма первых пополнений минус затраты на создание и продвижение страниц.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2.2. Что целью не является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Позиция страницы сама по себе: она лишь создаёт возможность получить показы.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Трафик: большой поток по информационному запросу может не давать регистраций.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CTR сниппета: высокий CTR бесполезен, если ожидание не совпало с содержанием.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Клик «Регистрация»: это намерение, а не завершённая регистрация.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Бесплатные клики: активация бонуса полезна для онбординга, но не доказывает платёжеспособность.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2.3. Воронка измерения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350"/>
        <w:gridCol w:w="3500"/>
        <w:gridCol w:w="2860"/>
      </w:tblGrid>
      <w:tr>
        <w:trPr>
          <w:tblHeader w:val="true"/>
          <w:cantSplit w:val="true"/>
        </w:trPr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Этап</w:t>
            </w:r>
          </w:p>
        </w:tc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Событие</w:t>
            </w:r>
          </w:p>
        </w:tc>
        <w:tc>
          <w:tcPr>
            <w:tcW w:type="dxa" w:w="3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Что фиксировать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Смысл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Показ в поиске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Запрос, позиция, URL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Видимость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Переход на страницу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CTR и органический визит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Соответствие сниппета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Переход в MetricHit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Клик по размеченной ссылке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Интерес к продукту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Регистрация завершена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Событие после создания аккаунта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Лид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Обращение/активация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Контакт с поддержкой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Готовность начать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6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Первое пополнение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Сумма и идентификатор пользователя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Выручка</w:t>
            </w:r>
          </w:p>
        </w:tc>
      </w:tr>
      <w:tr>
        <w:trPr>
          <w:cantSplit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7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Первый запуск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Проект создан и активирован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Активация продукта</w:t>
            </w:r>
          </w:p>
        </w:tc>
      </w:tr>
      <w:tr>
        <w:trPr>
          <w:cantSplit w:val="true"/>
        </w:trPr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8</w:t>
            </w:r>
          </w:p>
        </w:tc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Повторное пополнение</w:t>
            </w:r>
          </w:p>
        </w:tc>
        <w:tc>
          <w:tcPr>
            <w:tcW w:type="dxa" w:w="3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Сумма в окне 30/60/90 дней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Удержание и LTV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rPr>
          <w:rFonts w:ascii="Calibri" w:hAnsi="Calibri" w:eastAsia="Calibri"/>
          <w:b/>
          <w:i w:val="0"/>
          <w:color w:val="2E74B5"/>
          <w:sz w:val="32"/>
        </w:rPr>
        <w:t>3. Кому и какую задачу продаёт MetricHit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50"/>
        <w:gridCol w:w="3100"/>
        <w:gridCol w:w="1810"/>
      </w:tblGrid>
      <w:tr>
        <w:trPr>
          <w:tblHeader w:val="true"/>
          <w:cantSplit w:val="true"/>
        </w:trPr>
        <w:tc>
          <w:tcPr>
            <w:tcW w:type="dxa" w:w="1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Сегмент</w:t>
            </w:r>
          </w:p>
        </w:tc>
        <w:tc>
          <w:tcPr>
            <w:tcW w:type="dxa" w:w="2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Задача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Язык запроса</w:t>
            </w:r>
          </w:p>
        </w:tc>
        <w:tc>
          <w:tcPr>
            <w:tcW w:type="dxa" w:w="1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Ценность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SEO-специалист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Управлять несколькими проектами без посредника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Сервис, автоматизация, несколько сайтов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Агентство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Масштабировать работу и контролировать бюджет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Для агентств, для нескольких проектов</w:t>
            </w:r>
          </w:p>
        </w:tc>
        <w:tc>
          <w:tcPr>
            <w:tcW w:type="dxa" w:w="1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Очень высокая LTV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Владелец сайта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Сдвинуть застрявшие позиции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Сайт не растёт, вторая страница, ТОП-20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Средняя</w:t>
            </w:r>
          </w:p>
        </w:tc>
      </w:tr>
      <w:tr>
        <w:trPr>
          <w:cantSplit w:val="true"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Опытный SEO-заказчик</w:t>
            </w:r>
          </w:p>
        </w:tc>
        <w:tc>
          <w:tcPr>
            <w:tcW w:type="dxa" w:w="2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Сравнить решения и стоимость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Цена, стоимость, цена за клик</w:t>
            </w:r>
          </w:p>
        </w:tc>
        <w:tc>
          <w:tcPr>
            <w:tcW w:type="dxa" w:w="1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Новичок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Понять принцип и риски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Что такое, как работает, риски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Низкая сразу; прогрев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4. Как определять выгодность ключа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Выгодность — это ожидаемая прибыль на единицу затрат, а не максимальная частотность. Для каждого кластера применяется двухступенчатая оценка.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4.1. Стратегический балл до запуска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950"/>
        <w:gridCol w:w="5810"/>
      </w:tblGrid>
      <w:tr>
        <w:trPr>
          <w:tblHeader w:val="true"/>
          <w:cantSplit w:val="true"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Фактор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Вес</w:t>
            </w:r>
          </w:p>
        </w:tc>
        <w:tc>
          <w:tcPr>
            <w:tcW w:type="dxa" w:w="5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Что оцениваем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Коммерческий интент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25%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Насколько запрос близок к выбору и покупке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Соответствие продукту</w:t>
            </w:r>
          </w:p>
        </w:tc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20%</w:t>
            </w:r>
          </w:p>
        </w:tc>
        <w:tc>
          <w:tcPr>
            <w:tcW w:type="dxa" w:w="5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Есть ли прямой и честный ответ в возможностях MetricHit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Потенциал конверсии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15%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Вероятность регистрации и первого платежа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Потенциал спроса</w:t>
            </w:r>
          </w:p>
        </w:tc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15%</w:t>
            </w:r>
          </w:p>
        </w:tc>
        <w:tc>
          <w:tcPr>
            <w:tcW w:type="dxa" w:w="5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Частотность, сезонность и число вариаций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Ценность клиента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10%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Вероятный чек, число проектов, повторные пополнения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Достижимость выдачи</w:t>
            </w:r>
          </w:p>
        </w:tc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10%</w:t>
            </w:r>
          </w:p>
        </w:tc>
        <w:tc>
          <w:tcPr>
            <w:tcW w:type="dxa" w:w="5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Сила конкурентов и соответствие формату страницы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Контентная ясность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5%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Можно ли дать полный ответ без размывания интента</w:t>
            </w:r>
          </w:p>
        </w:tc>
      </w:tr>
      <w:tr>
        <w:trPr>
          <w:cantSplit w:val="true"/>
        </w:trPr>
        <w:tc>
          <w:tcPr>
            <w:tcW w:type="dxa" w:w="2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Штраф за риск</w:t>
            </w:r>
          </w:p>
        </w:tc>
        <w:tc>
          <w:tcPr>
            <w:tcW w:type="dxa" w:w="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0–15 п.</w:t>
            </w:r>
          </w:p>
        </w:tc>
        <w:tc>
          <w:tcPr>
            <w:tcW w:type="dxa" w:w="58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8"/>
              </w:rPr>
              <w:t>Политики, чрезмерные обещания, нестабильность или нерелевантность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/>
          <w:color w:val="5D6773"/>
          <w:sz w:val="20"/>
        </w:rPr>
        <w:t>Формула первого этапа: сумма взвешенных оценок по шкале 0–5, нормированная до 100, минус штраф за риск. Это приоритизация экспериментов, а не обещание результата.</w:t>
      </w:r>
    </w:p>
    <w:p>
      <w:pPr>
        <w:pStyle w:val="Heading2"/>
        <w:keepNext/>
        <w:pageBreakBefore/>
      </w:pPr>
      <w:r>
        <w:rPr>
          <w:rFonts w:ascii="Calibri" w:hAnsi="Calibri" w:eastAsia="Calibri"/>
          <w:b/>
          <w:i w:val="0"/>
          <w:color w:val="2E74B5"/>
          <w:sz w:val="26"/>
        </w:rPr>
        <w:t>4.2. Экономический балл после запуска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7A5A00"/>
                <w:sz w:val="21"/>
              </w:rPr>
              <w:t>Рабочая формула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02124"/>
                <w:sz w:val="21"/>
              </w:rPr>
              <w:t>Экономическая ценность кластера = (поисковые визиты × CR в регистрацию × CR в первое пополнение × средняя маржа на 90 дней × вероятность удержания) − полная стоимость создания и продвижения.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Через 30–90 дней стратегический балл должен уступить место фактической экономике. Кластер с меньшим трафиком, но высокой долей оплат, получает больше бюджета, чем массовый информационный кластер.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5. Приоритетные поисковые цели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"/>
        <w:gridCol w:w="2050"/>
        <w:gridCol w:w="650"/>
        <w:gridCol w:w="1900"/>
        <w:gridCol w:w="4310"/>
      </w:tblGrid>
      <w:tr>
        <w:trPr>
          <w:tblHeader w:val="true"/>
          <w:cantSplit w:val="true"/>
        </w:trPr>
        <w:tc>
          <w:tcPr>
            <w:tcW w:type="dxa" w:w="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№</w:t>
            </w:r>
          </w:p>
        </w:tc>
        <w:tc>
          <w:tcPr>
            <w:tcW w:type="dxa" w:w="2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Поисковая цель</w:t>
            </w:r>
          </w:p>
        </w:tc>
        <w:tc>
          <w:tcPr>
            <w:tcW w:type="dxa" w:w="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Балл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Коммерческий потенциал</w:t>
            </w:r>
          </w:p>
        </w:tc>
        <w:tc>
          <w:tcPr>
            <w:tcW w:type="dxa" w:w="4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Вывод</w:t>
            </w:r>
          </w:p>
        </w:tc>
      </w:tr>
      <w:tr>
        <w:trPr>
          <w:cantSplit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1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Цена и бюджет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87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Очень высокий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Лучший баланс намерения, ясности оффера и измеримости</w:t>
            </w:r>
          </w:p>
        </w:tc>
      </w:tr>
      <w:tr>
        <w:trPr>
          <w:cantSplit w:val="true"/>
        </w:trPr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2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Выбор сервиса</w:t>
            </w:r>
          </w:p>
        </w:tc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85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Очень высокий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Пользователь уже выбирает инструмент</w:t>
            </w:r>
          </w:p>
        </w:tc>
      </w:tr>
      <w:tr>
        <w:trPr>
          <w:cantSplit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3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Самостоятельный запуск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79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Высокий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Прямой доступ к сервису соответствует задаче</w:t>
            </w:r>
          </w:p>
        </w:tc>
      </w:tr>
      <w:tr>
        <w:trPr>
          <w:cantSplit w:val="true"/>
        </w:trPr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4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Агентства и несколько проектов</w:t>
            </w:r>
          </w:p>
        </w:tc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78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Высокий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Вероятно меньший спрос, но выше LTV</w:t>
            </w:r>
          </w:p>
        </w:tc>
      </w:tr>
      <w:tr>
        <w:trPr>
          <w:cantSplit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5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Основная категория ПФ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75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Высокий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Большой потенциал, но конкуренция и риск выше</w:t>
            </w:r>
          </w:p>
        </w:tc>
      </w:tr>
      <w:tr>
        <w:trPr>
          <w:cantSplit w:val="true"/>
        </w:trPr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6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Риски и последствия</w:t>
            </w:r>
          </w:p>
        </w:tc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64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Средний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Сильный этап принятия решения; нужен осторожный тон</w:t>
            </w:r>
          </w:p>
        </w:tc>
      </w:tr>
      <w:tr>
        <w:trPr>
          <w:cantSplit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7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Застрявшие позиции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60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Средний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Широкая проблема, но не всегда ведёт к продукту</w:t>
            </w:r>
          </w:p>
        </w:tc>
      </w:tr>
      <w:tr>
        <w:trPr>
          <w:cantSplit w:val="true"/>
        </w:trPr>
        <w:tc>
          <w:tcPr>
            <w:tcW w:type="dxa" w:w="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8</w:t>
            </w:r>
          </w:p>
        </w:tc>
        <w:tc>
          <w:tcPr>
            <w:tcW w:type="dxa" w:w="2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Брендовые запросы</w:t>
            </w:r>
          </w:p>
        </w:tc>
        <w:tc>
          <w:tcPr>
            <w:tcW w:type="dxa" w:w="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58*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Очень высокий</w:t>
            </w:r>
          </w:p>
        </w:tc>
        <w:tc>
          <w:tcPr>
            <w:tcW w:type="dxa" w:w="4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Низкий объём привлечения; обязательная защита спроса</w:t>
            </w:r>
          </w:p>
        </w:tc>
      </w:tr>
      <w:tr>
        <w:trPr>
          <w:cantSplit w:val="true"/>
        </w:trPr>
        <w:tc>
          <w:tcPr>
            <w:tcW w:type="dxa" w:w="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9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Обучающие запросы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47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Низкий сразу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Полезны для охвата и внутреннего прогрева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/>
          <w:color w:val="5D6773"/>
          <w:sz w:val="19"/>
        </w:rPr>
        <w:t>* Брендовый кластер имеет невысокий балл как источник нового небрендового спроса, но максимальный приоритет по контролю репутации и конверсии уже сформированного спроса.</w:t>
      </w:r>
    </w:p>
    <w:p>
      <w:pPr>
        <w:pStyle w:val="Heading1"/>
        <w:keepNext/>
        <w:pageBreakBefore/>
        <w:spacing w:before="720"/>
      </w:pPr>
      <w:r>
        <w:rPr>
          <w:rFonts w:ascii="Calibri" w:hAnsi="Calibri" w:eastAsia="Calibri"/>
          <w:b/>
          <w:i w:val="0"/>
          <w:color w:val="2E74B5"/>
          <w:sz w:val="32"/>
        </w:rPr>
        <w:t>6. Ядро первой очереди: самые выгодные ключи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Продвигать следует кластеры, а не отдельные словоформы. Один кластер получает одну основную страницу, один ведущий запрос и набор близких формулировок.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1900"/>
        <w:gridCol w:w="2650"/>
        <w:gridCol w:w="2550"/>
        <w:gridCol w:w="910"/>
      </w:tblGrid>
      <w:tr>
        <w:trPr>
          <w:tblHeader w:val="true"/>
          <w:cantSplit w:val="true"/>
        </w:trPr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Кластер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Ведущий ключ</w:t>
            </w:r>
          </w:p>
        </w:tc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Поддерживающие ключи</w:t>
            </w:r>
          </w:p>
        </w:tc>
        <w:tc>
          <w:tcPr>
            <w:tcW w:type="dxa" w:w="2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Коммерческий ответ</w:t>
            </w:r>
          </w:p>
        </w:tc>
        <w:tc>
          <w:tcPr>
            <w:tcW w:type="dxa" w:w="9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CTA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A1. Выбор сервиса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сервис накрутки поведенческих факторов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сервис накрутки ПФ; сервис поведенческих факторов; выбрать сервис ПФ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Прямой доступ, управление, оплата за клик, контроль проекта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Регистрация</w:t>
            </w:r>
          </w:p>
        </w:tc>
      </w:tr>
      <w:tr>
        <w:trPr>
          <w:cantSplit w:val="true"/>
        </w:trP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A2. Цена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накрутка ПФ цена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стоимость накрутки ПФ; цена клика ПФ; накрутка ПФ цена за клик; бюджет на ПФ</w:t>
            </w:r>
          </w:p>
        </w:tc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Тарифная сетка, примеры расчёта, что влияет на расход</w:t>
            </w:r>
          </w:p>
        </w:tc>
        <w:tc>
          <w:tcPr>
            <w:tcW w:type="dxa" w:w="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Расчёт → регистрация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A3. Самостоятельный запуск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накрутка ПФ самостоятельно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как запустить накрутку ПФ; сервис для запуска ПФ; настроить проект ПФ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Пошаговый запуск через интерфейс без посредника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Регистрация</w:t>
            </w:r>
          </w:p>
        </w:tc>
      </w:tr>
      <w:tr>
        <w:trPr>
          <w:cantSplit w:val="true"/>
        </w:trP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A4. Профессионалы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сервис ПФ для SEO-специалистов</w:t>
            </w:r>
          </w:p>
        </w:tc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сервис ПФ для агентств; сервис ПФ для нескольких сайтов; несколько проектов ПФ</w:t>
            </w:r>
          </w:p>
        </w:tc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Масштаб, контроль расходов, индивидуальные условия на объёме</w:t>
            </w:r>
          </w:p>
        </w:tc>
        <w:tc>
          <w:tcPr>
            <w:tcW w:type="dxa" w:w="9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Регистрация / контакт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A5. Основная категория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накрутка ПФ Яндекс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накрутка поведенческих факторов Яндекс; накрутка ПФ сайта; продвижение поведенческими факторами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Полное объяснение метода, ограничений, рисков и сценария применения</w:t>
            </w:r>
          </w:p>
        </w:tc>
        <w:tc>
          <w:tcPr>
            <w:tcW w:type="dxa" w:w="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5"/>
              </w:rPr>
              <w:t>Регистрация после прогрева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7. Вторая очередь: ключи для прогрева и снятия возражений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250"/>
        <w:gridCol w:w="3050"/>
        <w:gridCol w:w="2860"/>
      </w:tblGrid>
      <w:tr>
        <w:trPr>
          <w:tblHeader w:val="true"/>
          <w:cantSplit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Кластер</w:t>
            </w:r>
          </w:p>
        </w:tc>
        <w:tc>
          <w:tcPr>
            <w:tcW w:type="dxa" w:w="2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Ведущий ключ</w:t>
            </w:r>
          </w:p>
        </w:tc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Расширение</w:t>
            </w:r>
          </w:p>
        </w:tc>
        <w:tc>
          <w:tcPr>
            <w:tcW w:type="dxa" w:w="2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Роль контента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Риски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накрутка ПФ риски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последствия накрутки ПФ; санкции за ПФ; можно ли использовать ПФ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 обещать безопасность; объяснять условия и ограничения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Диагностика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сайт застрял на второй странице Яндекса</w:t>
            </w:r>
          </w:p>
        </w:tc>
        <w:tc>
          <w:tcPr>
            <w:tcW w:type="dxa" w:w="3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сайт застрял в ТОП-20; позиции не растут; SEO не даёт роста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Сначала исключить релевантность, технику и слабый оффер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Подбор запросов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как выбрать запросы для накрутки ПФ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какие запросы продвигать; частотность для ПФ; распределение запросов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Мост к созданию проекта и бюджету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Управление</w:t>
            </w:r>
          </w:p>
        </w:tc>
        <w:tc>
          <w:tcPr>
            <w:tcW w:type="dxa" w:w="2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как оценить результат накрутки ПФ</w:t>
            </w:r>
          </w:p>
        </w:tc>
        <w:tc>
          <w:tcPr>
            <w:tcW w:type="dxa" w:w="3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через сколько растут позиции; когда остановить ПФ; динамика позиций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Показать дисциплину измерения без гарантий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Бренд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MetricHit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Metric Hit; Метрик Хит; mtrhit; MetricHit отзывы; MetricHit цена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Факты, тарифы, инструкция, контакты; без вымышленных отзывов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720"/>
      </w:pPr>
      <w:r>
        <w:rPr>
          <w:rFonts w:ascii="Calibri" w:hAnsi="Calibri" w:eastAsia="Calibri"/>
          <w:b/>
          <w:i w:val="0"/>
          <w:color w:val="2E74B5"/>
          <w:sz w:val="32"/>
        </w:rPr>
        <w:t>8. Какие запросы пока не брать в продвижение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0"/>
        <w:gridCol w:w="3950"/>
        <w:gridCol w:w="2760"/>
      </w:tblGrid>
      <w:tr>
        <w:trPr>
          <w:tblHeader w:val="true"/>
          <w:cantSplit w:val="true"/>
        </w:trPr>
        <w:tc>
          <w:tcPr>
            <w:tcW w:type="dxa" w:w="2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Запрос</w:t>
            </w:r>
          </w:p>
        </w:tc>
        <w:tc>
          <w:tcPr>
            <w:tcW w:type="dxa" w:w="3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Почему не сейчас</w:t>
            </w:r>
          </w:p>
        </w:tc>
        <w:tc>
          <w:tcPr>
            <w:tcW w:type="dxa" w:w="2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Решение</w:t>
            </w:r>
          </w:p>
        </w:tc>
      </w:tr>
      <w:tr>
        <w:trPr>
          <w:cantSplit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что такое поведенческие факторы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Большой информационный охват, слабое намерение купить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Оставить поддерживающим материалом</w:t>
            </w:r>
          </w:p>
        </w:tc>
      </w:tr>
      <w:tr>
        <w:trPr>
          <w:cantSplit w:val="true"/>
        </w:trPr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как улучшить ПФ без накрутки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Интент не совпадает с основным продуктом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Использовать для доверия, не как денежную цель</w:t>
            </w:r>
          </w:p>
        </w:tc>
      </w:tr>
      <w:tr>
        <w:trPr>
          <w:cantSplit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как вывести сайт в ТОП Яндекса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Слишком широкий и конкурентный запрос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Дробить на конкретные проблемы</w:t>
            </w:r>
          </w:p>
        </w:tc>
      </w:tr>
      <w:tr>
        <w:trPr>
          <w:cantSplit w:val="true"/>
        </w:trPr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накрутка ПФ без риска / безопасная накрутка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Формирует ожидание, которое нельзя честно гарантировать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Отвечать через риски, не обещание</w:t>
            </w:r>
          </w:p>
        </w:tc>
      </w:tr>
      <w:tr>
        <w:trPr>
          <w:cantSplit w:val="true"/>
        </w:trP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лучший сервис ПФ</w:t>
            </w:r>
          </w:p>
        </w:tc>
        <w:tc>
          <w:tcPr>
            <w:tcW w:type="dxa" w:w="3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Нужна доказательная сравнительная база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Вернуться после накопления кейсов и критериев</w:t>
            </w:r>
          </w:p>
        </w:tc>
      </w:tr>
      <w:tr>
        <w:trPr>
          <w:cantSplit w:val="true"/>
        </w:trPr>
        <w:tc>
          <w:tcPr>
            <w:tcW w:type="dxa" w:w="26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как выйти из-под фильтра за ПФ</w:t>
            </w:r>
          </w:p>
        </w:tc>
        <w:tc>
          <w:tcPr>
            <w:tcW w:type="dxa" w:w="39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Слабое соответствие текущему продукту и высокая чувствительность</w:t>
            </w:r>
          </w:p>
        </w:tc>
        <w:tc>
          <w:tcPr>
            <w:tcW w:type="dxa" w:w="2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7"/>
              </w:rPr>
              <w:t>Не приоритет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720"/>
      </w:pPr>
      <w:r>
        <w:rPr>
          <w:rFonts w:ascii="Calibri" w:hAnsi="Calibri" w:eastAsia="Calibri"/>
          <w:b/>
          <w:i w:val="0"/>
          <w:color w:val="2E74B5"/>
          <w:sz w:val="32"/>
        </w:rPr>
        <w:t>9. Архитектура семантики и защита от каннибализации</w:t>
      </w:r>
    </w:p>
    <w:p>
      <w:pPr>
        <w:pStyle w:val="ListNumber"/>
        <w:spacing w:after="120" w:line="264" w:lineRule="auto"/>
        <w:ind w:left="720" w:hanging="360"/>
      </w:pPr>
      <w:r>
        <w:rPr>
          <w:rFonts w:ascii="Calibri" w:hAnsi="Calibri" w:eastAsia="Calibri"/>
          <w:b/>
          <w:i w:val="0"/>
          <w:color w:val="202124"/>
          <w:sz w:val="22"/>
        </w:rPr>
        <w:t>Одна поисковая цель — одна основная страница.</w:t>
      </w:r>
      <w:r>
        <w:rPr>
          <w:rFonts w:ascii="Calibri" w:hAnsi="Calibri" w:eastAsia="Calibri"/>
          <w:b w:val="0"/>
          <w:i w:val="0"/>
          <w:color w:val="202124"/>
          <w:sz w:val="22"/>
        </w:rPr>
        <w:t xml:space="preserve"> Синонимы и близкие формулировки объединяются, а не получают отдельные почти одинаковые материалы.</w:t>
      </w:r>
    </w:p>
    <w:p>
      <w:pPr>
        <w:pStyle w:val="ListNumber"/>
        <w:spacing w:after="120" w:line="264" w:lineRule="auto"/>
        <w:ind w:left="720" w:hanging="360"/>
      </w:pPr>
      <w:r>
        <w:rPr>
          <w:rFonts w:ascii="Calibri" w:hAnsi="Calibri" w:eastAsia="Calibri"/>
          <w:b/>
          <w:i w:val="0"/>
          <w:color w:val="202124"/>
          <w:sz w:val="22"/>
        </w:rPr>
        <w:t>Разные намерения разделяются.</w:t>
      </w:r>
      <w:r>
        <w:rPr>
          <w:rFonts w:ascii="Calibri" w:hAnsi="Calibri" w:eastAsia="Calibri"/>
          <w:b w:val="0"/>
          <w:i w:val="0"/>
          <w:color w:val="202124"/>
          <w:sz w:val="22"/>
        </w:rPr>
        <w:t xml:space="preserve"> «Цена», «выбор сервиса», «риски» и «самостоятельный запуск» требуют разных ответов и разных CTA.</w:t>
      </w:r>
    </w:p>
    <w:p>
      <w:pPr>
        <w:pStyle w:val="ListNumber"/>
        <w:spacing w:after="120" w:line="264" w:lineRule="auto"/>
        <w:ind w:left="720" w:hanging="360"/>
      </w:pPr>
      <w:r>
        <w:rPr>
          <w:rFonts w:ascii="Calibri" w:hAnsi="Calibri" w:eastAsia="Calibri"/>
          <w:b/>
          <w:i w:val="0"/>
          <w:color w:val="202124"/>
          <w:sz w:val="22"/>
        </w:rPr>
        <w:t>Каждая новая тема проверяется на пересечение.</w:t>
      </w:r>
      <w:r>
        <w:rPr>
          <w:rFonts w:ascii="Calibri" w:hAnsi="Calibri" w:eastAsia="Calibri"/>
          <w:b w:val="0"/>
          <w:i w:val="0"/>
          <w:color w:val="202124"/>
          <w:sz w:val="22"/>
        </w:rPr>
        <w:t xml:space="preserve"> Если совпадает более половины ключей и поисковая задача одна, новый материал не нужен — обновляется существующий.</w:t>
      </w:r>
    </w:p>
    <w:p>
      <w:pPr>
        <w:pStyle w:val="ListNumber"/>
        <w:spacing w:after="120" w:line="264" w:lineRule="auto"/>
        <w:ind w:left="720" w:hanging="360"/>
      </w:pPr>
      <w:r>
        <w:rPr>
          <w:rFonts w:ascii="Calibri" w:hAnsi="Calibri" w:eastAsia="Calibri"/>
          <w:b/>
          <w:i w:val="0"/>
          <w:color w:val="202124"/>
          <w:sz w:val="22"/>
        </w:rPr>
        <w:t>Коммерческая страница получает факты продукта.</w:t>
      </w:r>
      <w:r>
        <w:rPr>
          <w:rFonts w:ascii="Calibri" w:hAnsi="Calibri" w:eastAsia="Calibri"/>
          <w:b w:val="0"/>
          <w:i w:val="0"/>
          <w:color w:val="202124"/>
          <w:sz w:val="22"/>
        </w:rPr>
        <w:t xml:space="preserve"> Информационная — объяснение и переход к следующему шагу; нельзя превращать каждую статью в одинаковую рекламу.</w:t>
      </w:r>
    </w:p>
    <w:p>
      <w:pPr>
        <w:pStyle w:val="ListNumber"/>
        <w:spacing w:after="120" w:line="264" w:lineRule="auto"/>
        <w:ind w:left="720" w:hanging="360"/>
      </w:pPr>
      <w:r>
        <w:rPr>
          <w:rFonts w:ascii="Calibri" w:hAnsi="Calibri" w:eastAsia="Calibri"/>
          <w:b/>
          <w:i w:val="0"/>
          <w:color w:val="202124"/>
          <w:sz w:val="22"/>
        </w:rPr>
        <w:t>Брендовые варианты ведут в единый официальный контур.</w:t>
      </w:r>
      <w:r>
        <w:rPr>
          <w:rFonts w:ascii="Calibri" w:hAnsi="Calibri" w:eastAsia="Calibri"/>
          <w:b w:val="0"/>
          <w:i w:val="0"/>
          <w:color w:val="202124"/>
          <w:sz w:val="22"/>
        </w:rPr>
        <w:t xml:space="preserve"> Название, домены, Telegram и тарифы должны быть одинаковыми во всех материалах.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10. План работы на 90 дней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1500"/>
        <w:gridCol w:w="4400"/>
        <w:gridCol w:w="2310"/>
      </w:tblGrid>
      <w:tr>
        <w:trPr>
          <w:tblHeader w:val="true"/>
          <w:cantSplit w:val="true"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Период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Фокус</w:t>
            </w:r>
          </w:p>
        </w:tc>
        <w:tc>
          <w:tcPr>
            <w:tcW w:type="dxa" w:w="4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Действия</w:t>
            </w:r>
          </w:p>
        </w:tc>
        <w:tc>
          <w:tcPr>
            <w:tcW w:type="dxa" w:w="2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Недели 1–2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Измерение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Связать запрос/URL/UTM с регистрацией, первым платежом и первым запуском; снять Wordstat и текущие позиции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Есть базовая воронка и нулевые значения</w:t>
            </w:r>
          </w:p>
        </w:tc>
      </w:tr>
      <w:tr>
        <w:trPr>
          <w:cantSplit w:val="true"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Недели 2–4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Первая очередь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Запустить кластеры «выбор сервиса» и «цена»; подготовить разные офферы и CTA</w:t>
            </w:r>
          </w:p>
        </w:tc>
        <w:tc>
          <w:tcPr>
            <w:tcW w:type="dxa" w:w="2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2 независимых денежных теста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Недели 4–6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Сегментация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Запустить «самостоятельный старт» и «для специалистов/агентств»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Проверка CR и LTV разных аудиторий</w:t>
            </w:r>
          </w:p>
        </w:tc>
      </w:tr>
      <w:tr>
        <w:trPr>
          <w:cantSplit w:val="true"/>
        </w:trPr>
        <w:tc>
          <w:tcPr>
            <w:tcW w:type="dxa" w:w="11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Недели 6–8</w:t>
            </w:r>
          </w:p>
        </w:tc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Расширение</w:t>
            </w:r>
          </w:p>
        </w:tc>
        <w:tc>
          <w:tcPr>
            <w:tcW w:type="dxa" w:w="4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Добавить основную категорию и запросы о рисках</w:t>
            </w:r>
          </w:p>
        </w:tc>
        <w:tc>
          <w:tcPr>
            <w:tcW w:type="dxa" w:w="23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Рост охвата без потери точности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Недели 8–12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Перераспределение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Сравнить стоимость первого платежа и 90-дневную ценность; усилить победителей, остановить слабые связки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Бюджет идёт в прибыльные кластеры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11. Система аналитики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11.1. Обязательные события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100"/>
        <w:gridCol w:w="40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Событие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Что означает</w:t>
            </w:r>
          </w:p>
        </w:tc>
        <w:tc>
          <w:tcPr>
            <w:tcW w:type="dxa" w:w="4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Минимальные параметры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article_to_landing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Переход со страницы привлечения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source_url, query_cluster, content_id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registration_start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Начало регистрации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source_url, cluster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registration_complete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Аккаунт создан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user_id, cluster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support_contact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Переход/обращение в поддержку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user_id, reason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bonus_activated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Начислен тестовый пакет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user_id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first_topup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Первое пополнение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user_id, amount, currency, cluster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first_project_launch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Первый проект запущен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user_id, project_type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repeat_topup</w:t>
            </w:r>
          </w:p>
        </w:tc>
        <w:tc>
          <w:tcPr>
            <w:tcW w:type="dxa" w:w="3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Повторное пополнение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user_id, amount, days_since_first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1"/>
        </w:rPr>
        <w:t>Клики регистрации, входа и поддержки полезны как промежуточные сигналы, но их необходимо отделять от завершённой регистрации и оплаты. Яндекс Метрика поддерживает отдельные целевые события, параметры и передачу дохода; проверка реализации обязательна до оценки ключей.</w:t>
      </w:r>
    </w:p>
    <w:p>
      <w:pPr>
        <w:pStyle w:val="Heading2"/>
        <w:keepNext/>
      </w:pPr>
      <w:r>
        <w:rPr>
          <w:rFonts w:ascii="Calibri" w:hAnsi="Calibri" w:eastAsia="Calibri"/>
          <w:b/>
          <w:i w:val="0"/>
          <w:color w:val="2E74B5"/>
          <w:sz w:val="26"/>
        </w:rPr>
        <w:t>11.2. Отчёт по каждому кластеру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Частотность и сезонность ведущего ключа и вариантов.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Позиции и доля показов по каждому URL.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CTR выдачи и доля переходов в продукт.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CR: визит → завершённая регистрация → первое пополнение → первый запуск.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Среднее первое пополнение и сумма пополнений за 30/60/90 дней.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Полная стоимость кластера и стоимость первого платящего пользователя.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Причины остановки: нет видимости, нет кликов, нет продуктовых переходов или нет оплат.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12. Правила принятия решений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3250"/>
        <w:gridCol w:w="3760"/>
      </w:tblGrid>
      <w:tr>
        <w:trPr>
          <w:tblHeader w:val="true"/>
          <w:cantSplit w:val="true"/>
        </w:trPr>
        <w:tc>
          <w:tcPr>
            <w:tcW w:type="dxa" w:w="2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Сигнал</w:t>
            </w:r>
          </w:p>
        </w:tc>
        <w:tc>
          <w:tcPr>
            <w:tcW w:type="dxa" w:w="3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Интерпретация</w:t>
            </w:r>
          </w:p>
        </w:tc>
        <w:tc>
          <w:tcPr>
            <w:tcW w:type="dxa" w:w="3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Действие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Нет роста показов/позиций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Проблема видимости или соответствия выдаче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Перепроверить интент, конкурентность, индексацию и формат</w:t>
            </w:r>
          </w:p>
        </w:tc>
      </w:tr>
      <w:tr>
        <w:trPr>
          <w:cantSplit w:val="true"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Позиции есть, CTR низкий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Слабый сниппет или неверное обещание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Изменить заголовок/описание, не трогая интент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CTR хороший, переходов в продукт мало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Страница не создаёт коммерческого моста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Уточнить оффер, доказательства и CTA</w:t>
            </w:r>
          </w:p>
        </w:tc>
      </w:tr>
      <w:tr>
        <w:trPr>
          <w:cantSplit w:val="true"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Регистрации есть, оплат нет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Неверная аудитория или проблема онбординга/ценности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Анализировать сегмент и первые действия в продукте</w:t>
            </w:r>
          </w:p>
        </w:tc>
      </w:tr>
      <w:tr>
        <w:trPr>
          <w:cantSplit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Оплаты есть, повторов нет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Проблема результата, поддержки или экономики клиента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Изучить активацию и причины прекращения</w:t>
            </w:r>
          </w:p>
        </w:tc>
      </w:tr>
      <w:tr>
        <w:trPr>
          <w:cantSplit w:val="true"/>
        </w:trP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Мало трафика, но высокий LTV</w:t>
            </w:r>
          </w:p>
        </w:tc>
        <w:tc>
          <w:tcPr>
            <w:tcW w:type="dxa" w:w="3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Ценный узкий кластер</w:t>
            </w:r>
          </w:p>
        </w:tc>
        <w:tc>
          <w:tcPr>
            <w:tcW w:type="dxa" w:w="37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Удерживать и расширять близкими long-tail запросами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1440"/>
      </w:pPr>
      <w:r>
        <w:rPr>
          <w:rFonts w:ascii="Calibri" w:hAnsi="Calibri" w:eastAsia="Calibri"/>
          <w:b/>
          <w:i w:val="0"/>
          <w:color w:val="2E74B5"/>
          <w:sz w:val="32"/>
        </w:rPr>
        <w:t>13. Риски и ограничения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Искусственная имитация пользовательских действий может рассматриваться поисковой системой как нарушение и привести к ограничению ранжирования. Нельзя обещать «без риска» или гарантированный ТОП.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Прибыльность ключа зависит не только от позиции: важны сниппет, соответствие страницы, доверие, онбординг, тариф и качество продукта.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Частотность без очистки может завышать потенциал; нужны регион, тип соответствия, сезонность и исключение нерелевантных формулировок.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Внешние страницы и поисковая выдача нестабильны; актив нельзя считать полностью контролируемым.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Недостаточно измерять одну сессию. Для агентств и специалистов ценность проявляется в повторных пополнениях и нескольких проектах.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14. Итоговое решение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i w:val="0"/>
                <w:color w:val="7A5A00"/>
                <w:sz w:val="21"/>
              </w:rPr>
              <w:t>Первая волна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i w:val="0"/>
                <w:color w:val="202124"/>
                <w:sz w:val="21"/>
              </w:rPr>
              <w:t>1) «сервис накрутки поведенческих факторов»; 2) «накрутка ПФ цена»; 3) «накрутка ПФ самостоятельно»; 4) «сервис ПФ для SEO-специалистов / агентств»; 5) «накрутка ПФ Яндекс». Каждый пункт — отдельная поисковая цель и отдельный эксперимент.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Сначала запускаются кластеры, в которых пользователь уже выбирает инструмент или считает бюджет. Затем — сегментные запросы с высоким потенциальным LTV. Основная категория даёт больший охват, но идёт позже из-за конкуренции и более смешанного интента. Информационные запросы используются для прогрева, перелинковки и снятия возражений, а не как главный источник бюджета.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02124"/>
          <w:sz w:val="22"/>
        </w:rPr>
        <w:t>Окончательный список «самых выгодных» ключей фиксируется только после добавления трёх групп данных: точной частотности, фактической стоимости достижения видимости и конверсии до первого/повторного платежа. До этого корректное решение — не масштабирование, а последовательные тесты кластеров первой волны.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Приложение A. Семантическое ядро первого цикла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Кластер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Ключи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Выбор сервиса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сервис накрутки поведенческих факторов; сервис накрутки ПФ; сервис поведенческих факторов; выбрать сервис ПФ; заказать накрутку ПФ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Цена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накрутка ПФ цена; стоимость накрутки ПФ; цена клика ПФ; накрутка ПФ цена за клик; бюджет на накрутку ПФ; как рассчитать бюджет ПФ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Самостоятельный запуск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накрутка ПФ самостоятельно; как запустить накрутку ПФ; как настроить проект ПФ; сервис для запуска ПФ; автоматизация ПФ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Профессиональные сегменты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сервис ПФ для SEO-специалистов; сервис ПФ для агентств; сервис ПФ для нескольких сайтов; продвижение нескольких проектов ПФ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Основная категория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накрутка ПФ Яндекс; накрутка поведенческих факторов Яндекс; накрутка ПФ сайта; накрутка поведенческих факторов сайта; продвижение сайта поведенческими факторами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Риски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накрутка ПФ риски; последствия накрутки ПФ; санкции за накрутку ПФ; можно ли использовать ПФ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Диагностика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сайт застрял на второй странице Яндекса; сайт застрял в ТОП-20; позиции сайта не растут; SEO-трафик есть, заявок нет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Подбор и управление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как выбрать запросы для накрутки ПФ; какие запросы продвигать; как оценить результат ПФ; когда остановить ПФ; через сколько меняются позиции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Бренд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202124"/>
                <w:sz w:val="16"/>
              </w:rPr>
              <w:t>MetricHit; Metric Hit; Метрик Хит; mtrhit; MetricHit цена; MetricHit отзывы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Источники и данные для количественной валидации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Яндекс Wordstat — частотность, регионы и сезонность: https://wordstat.yandex.ru/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Яндекс Метрика — цели и типы целей: https://yandex.ru/support/metrica/ru/general/goals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Яндекс Метрика — целевые события и передача дохода: https://yandex.ru/support/metrica/ru/general/goal-js-event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Яндекс Метрика — проверка целей: https://yandex.ru/support/metrica/ru/general/check-goal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 w:eastAsia="Calibri"/>
          <w:b w:val="0"/>
          <w:i w:val="0"/>
          <w:color w:val="202124"/>
          <w:sz w:val="22"/>
        </w:rPr>
        <w:t>Внутренние данные MetricHit — регистрации, пополнения, проекты, повторные платежи и стоимость продвижения.</w:t>
      </w:r>
    </w:p>
    <w:p>
      <w:pPr>
        <w:spacing w:before="0" w:after="0" w:line="264" w:lineRule="auto"/>
      </w:pPr>
      <w:r>
        <w:rPr>
          <w:rFonts w:ascii="Calibri" w:hAnsi="Calibri" w:eastAsia="Calibri"/>
          <w:b w:val="0"/>
          <w:i/>
          <w:color w:val="5D6773"/>
          <w:sz w:val="19"/>
        </w:rPr>
        <w:t>Примечание: документ не содержит гарантий позиций или безопасности метода. Оценки 0–100 — экспертная приоритизация для постановки экспериментов; после накопления данных они заменяются фактической экономикой.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5D6773"/>
        <w:sz w:val="18"/>
      </w:rPr>
      <w:t xml:space="preserve">Страница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Calibri"/>
        <w:b w:val="0"/>
        <w:i w:val="0"/>
        <w:color w:val="5D6773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i w:val="0"/>
        <w:color w:val="5D6773"/>
        <w:sz w:val="17"/>
      </w:rPr>
      <w:t>METRICHIT  |  СТРАТЕГИЯ ПОИСКОВОГО ПРИВЛЕЧЕНИЯ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Цели и приоритетные поисковые запросы MetricHit</dc:title>
  <dc:subject>Стратегия поискового привлечения</dc:subject>
  <dc:creator>MetricHit</dc:creator>
  <cp:keywords>MetricHit, SEO, семантика, ключевые запросы, цели, конверсия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