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90D86">
      <w:pPr>
        <w:spacing w:before="400" w:after="160"/>
        <w:jc w:val="both"/>
        <w:rPr>
          <w:rFonts w:hint="default" w:asciiTheme="majorAscii" w:hAnsiTheme="majorAscii"/>
        </w:rPr>
      </w:pPr>
      <w:r>
        <w:rPr>
          <w:rFonts w:hint="default" w:eastAsia="Noto Sans CJK SC" w:asciiTheme="majorAscii" w:hAnsiTheme="majorAscii"/>
          <w:b/>
          <w:color w:val="1F4E79"/>
          <w:sz w:val="40"/>
        </w:rPr>
        <w:t>VHDL → SystemVerilog 转换规则底板模板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9"/>
        <w:gridCol w:w="7569"/>
      </w:tblGrid>
      <w:tr w14:paraId="3EBD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9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ED30F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0"/>
              </w:rPr>
              <w:t>文档用途</w:t>
            </w:r>
          </w:p>
        </w:tc>
        <w:tc>
          <w:tcPr>
            <w:tcW w:w="7569" w:type="dxa"/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E2A91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 w:val="0"/>
                <w:sz w:val="20"/>
              </w:rPr>
              <w:t>用于搭建 VHDL 转 SystemVerilog 的统一转换规范底板。当前版本重点提供章节框架、表格字段和初始分类示例，便于后续按项目持续扩充。</w:t>
            </w:r>
          </w:p>
        </w:tc>
      </w:tr>
    </w:tbl>
    <w:p w14:paraId="210E4126">
      <w:pPr>
        <w:spacing w:after="80"/>
        <w:jc w:val="both"/>
        <w:rPr>
          <w:rFonts w:hint="default" w:asciiTheme="majorAscii" w:hAnsiTheme="majorAscii"/>
        </w:rPr>
      </w:pPr>
    </w:p>
    <w:p w14:paraId="68269AD1">
      <w:pPr>
        <w:spacing w:before="200" w:after="120"/>
        <w:jc w:val="both"/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</w:pPr>
    </w:p>
    <w:p w14:paraId="4F4BB977">
      <w:pPr>
        <w:spacing w:before="200" w:after="120"/>
        <w:jc w:val="both"/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</w:pPr>
    </w:p>
    <w:p w14:paraId="11D66E00">
      <w:pPr>
        <w:spacing w:before="200" w:after="120"/>
        <w:jc w:val="both"/>
        <w:rPr>
          <w:rFonts w:hint="default" w:asciiTheme="majorAscii" w:hAnsiTheme="majorAscii"/>
        </w:rPr>
      </w:pP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1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. 类型映射规则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336"/>
        <w:gridCol w:w="1898"/>
        <w:gridCol w:w="1991"/>
        <w:gridCol w:w="1707"/>
        <w:gridCol w:w="5659"/>
        <w:gridCol w:w="1663"/>
      </w:tblGrid>
      <w:tr w14:paraId="64F7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97D59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ID</w:t>
            </w:r>
          </w:p>
        </w:tc>
        <w:tc>
          <w:tcPr>
            <w:tcW w:w="133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D93F3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类型</w:t>
            </w:r>
          </w:p>
        </w:tc>
        <w:tc>
          <w:tcPr>
            <w:tcW w:w="189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759A4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VHDL模式</w:t>
            </w:r>
          </w:p>
        </w:tc>
        <w:tc>
          <w:tcPr>
            <w:tcW w:w="199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53803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SV模式</w:t>
            </w:r>
          </w:p>
        </w:tc>
        <w:tc>
          <w:tcPr>
            <w:tcW w:w="170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83E94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条件</w:t>
            </w:r>
          </w:p>
        </w:tc>
        <w:tc>
          <w:tcPr>
            <w:tcW w:w="565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47D1F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示例</w:t>
            </w:r>
          </w:p>
        </w:tc>
        <w:tc>
          <w:tcPr>
            <w:tcW w:w="166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772C0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说明</w:t>
            </w:r>
          </w:p>
        </w:tc>
      </w:tr>
      <w:tr w14:paraId="1A7A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1A388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 w:cstheme="minorBidi"/>
                <w:sz w:val="20"/>
                <w:szCs w:val="22"/>
                <w:lang w:val="en-US" w:eastAsia="en-US" w:bidi="ar-SA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T-001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7D31D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 w:cstheme="minorBidi"/>
                <w:sz w:val="20"/>
                <w:szCs w:val="22"/>
                <w:lang w:val="en-US" w:eastAsia="en-US" w:bidi="ar-SA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逻辑与位类型</w:t>
            </w:r>
          </w:p>
        </w:tc>
        <w:tc>
          <w:tcPr>
            <w:tcW w:w="189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CAC60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DejaVu Sans Mono" w:asciiTheme="majorAscii" w:hAnsiTheme="majorAscii"/>
                <w:b w:val="0"/>
                <w:sz w:val="18"/>
              </w:rPr>
              <w:t>std_logic / std_ulogic / bit / std_logic_vector / bit_vector</w:t>
            </w:r>
          </w:p>
        </w:tc>
        <w:tc>
          <w:tcPr>
            <w:tcW w:w="1991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6E8A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en-US"/>
              </w:rPr>
            </w:pPr>
            <w:r>
              <w:rPr>
                <w:rFonts w:hint="eastAsia" w:eastAsia="DejaVu Sans Mono" w:asciiTheme="majorAscii" w:hAnsiTheme="majorAscii"/>
                <w:b w:val="0"/>
                <w:sz w:val="18"/>
              </w:rPr>
              <w:t>logic / bit / logic[...] / bit[...]</w:t>
            </w:r>
          </w:p>
        </w:tc>
        <w:tc>
          <w:tcPr>
            <w:tcW w:w="170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35AE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en-US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用于单比特、位向量、普通连线与寄存器建模；优先保证 4 态语义与位宽方向一致</w:t>
            </w:r>
          </w:p>
        </w:tc>
        <w:tc>
          <w:tcPr>
            <w:tcW w:w="565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949D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a: std_logic; → logic a;</w:t>
            </w:r>
          </w:p>
          <w:p w14:paraId="7D138F8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b: std_ulogic; → logic b;</w:t>
            </w:r>
          </w:p>
          <w:p w14:paraId="35EB1A8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c: bit; → bit c;</w:t>
            </w:r>
          </w:p>
          <w:p w14:paraId="08B1271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d: std_logic_vector(7 downto 0); → logic [7:0] d;</w:t>
            </w:r>
          </w:p>
          <w:p w14:paraId="29583AAE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e: bit_vector(7 downto 0); → bit [7:0] e;</w:t>
            </w:r>
          </w:p>
        </w:tc>
        <w:tc>
          <w:tcPr>
            <w:tcW w:w="1663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CC73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std_logic/std_logic_vector 是 4态； bit/bit_vector 是 2态； 只有确认原设计不依赖 X/Z/多驱动解析时，才允许往 bit 收缩</w:t>
            </w:r>
          </w:p>
          <w:p w14:paraId="15E39C5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en-US"/>
              </w:rPr>
            </w:pPr>
          </w:p>
        </w:tc>
      </w:tr>
      <w:tr w14:paraId="3B919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8D96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T-002</w:t>
            </w:r>
          </w:p>
        </w:tc>
        <w:tc>
          <w:tcPr>
            <w:tcW w:w="1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D351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数值与算术类型</w:t>
            </w:r>
          </w:p>
        </w:tc>
        <w:tc>
          <w:tcPr>
            <w:tcW w:w="18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17B5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signed / unsigned / integer / natural / positive / integer range</w:t>
            </w:r>
          </w:p>
        </w:tc>
        <w:tc>
          <w:tcPr>
            <w:tcW w:w="19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4BAD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logic signed[...] / logic[...] / int / int unsigned / logic signed[...] / logic[...]</w:t>
            </w:r>
          </w:p>
        </w:tc>
        <w:tc>
          <w:tcPr>
            <w:tcW w:w="17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71BF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用于算术、比较、计数、索引；必须显式保持 signedness 和取值范围</w:t>
            </w:r>
          </w:p>
        </w:tc>
        <w:tc>
          <w:tcPr>
            <w:tcW w:w="56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354B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signed(x) → $signed(x)</w:t>
            </w:r>
          </w:p>
          <w:p w14:paraId="4F28439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unsigned(x) → $unsigned(x)</w:t>
            </w:r>
          </w:p>
          <w:p w14:paraId="0C0E832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i: integer; → int i;</w:t>
            </w:r>
          </w:p>
          <w:p w14:paraId="43B2BC9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n: natural; → int unsigned n;</w:t>
            </w:r>
          </w:p>
          <w:p w14:paraId="383235B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p: positive; → int unsigned p;</w:t>
            </w:r>
          </w:p>
          <w:p w14:paraId="1132A68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idx: integer range 0 to 15; → logic [3:0] idx</w:t>
            </w:r>
          </w:p>
          <w:p w14:paraId="6E10E43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(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若该对象主要用于索引、计数、位宽明确且不做通用整数算术，可落成定宽 logic/int unsigned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;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否则优先保留为 int / int unsigned，并在说明里写清原 range 约束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)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B4E9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integer 通常先映射为 int；natural/positive 无直接强约束等价，需靠说明或检查补足；有明确范围时建议收窄位宽</w:t>
            </w:r>
          </w:p>
        </w:tc>
      </w:tr>
      <w:tr w14:paraId="6B9F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74F43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T-003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189D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复合与数组类型</w:t>
            </w:r>
          </w:p>
        </w:tc>
        <w:tc>
          <w:tcPr>
            <w:tcW w:w="189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1DC8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record / enum / array / multi-dim array / unconstrained array</w:t>
            </w:r>
          </w:p>
        </w:tc>
        <w:tc>
          <w:tcPr>
            <w:tcW w:w="1991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A51E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t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ypedef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struct packed/struct / typedef enum logic[...] / packed 或 unpacked array / 参数化数组或开放数组</w:t>
            </w:r>
          </w:p>
        </w:tc>
        <w:tc>
          <w:tcPr>
            <w:tcW w:w="170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6D0E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先判断是否要求连续打包、是否依赖索引方向、是否为参数化数组；RTL 场景下 unconstrained array 不得机械映射为动态数组</w:t>
            </w:r>
          </w:p>
        </w:tc>
        <w:tc>
          <w:tcPr>
            <w:tcW w:w="565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0033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type t_rec is record a:std_logic; b:std_logic_vector(3 downto 0); end record; → typedef struct packed {logic a; logic [3:0] b;} t_rec;</w:t>
            </w:r>
          </w:p>
          <w:p w14:paraId="73DFE8D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0A8230D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type state_t is (IDLE,RUN,DONE); → typedef enum logic [1:0] {IDLE,RUN,DONE} state_t;</w:t>
            </w:r>
          </w:p>
          <w:p w14:paraId="1BAE8F5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5F4D7EC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type t_arr is array(0 to 3) of std_logic_vector(7 downto 0); → typedef logic [7:0] t_arr [0:3]; ；</w:t>
            </w:r>
          </w:p>
          <w:p w14:paraId="65E0C89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727BE93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type t_marr is array(0 to 1) of array(0 to 3) of std_logic; → logic t_marr [0:1][0:3];</w:t>
            </w:r>
          </w:p>
          <w:p w14:paraId="3DEC40D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37D0A70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type t_uarr is array(natural range &lt;&gt;) of std_logic_vector(7 downto 0); → 需结合上下文固定范围，例如 logic [7:0] data [0:DEPTH-1];</w:t>
            </w:r>
          </w:p>
        </w:tc>
        <w:tc>
          <w:tcPr>
            <w:tcW w:w="1663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E873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成员全是定宽 packed 元素，且原 record 用于位拼接/总线接口 → typedef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struct packed；若含 unpacked array、字符串、非定宽对象，或主要作为层级化聚合 → typedef struct。数组要区分“元素位宽”和“数组维度”；</w:t>
            </w:r>
          </w:p>
          <w:p w14:paraId="6CEDBDA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unconstrained array 不应直接映射为 typedef ... []，RTL 下应结合 parameter/常量固定维度，无法确定范围时标记待审。</w:t>
            </w:r>
          </w:p>
        </w:tc>
      </w:tr>
      <w:tr w14:paraId="7A98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atLeast"/>
        </w:trPr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D860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T-004</w:t>
            </w:r>
          </w:p>
        </w:tc>
        <w:tc>
          <w:tcPr>
            <w:tcW w:w="1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24AD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派生与约束类型</w:t>
            </w:r>
          </w:p>
        </w:tc>
        <w:tc>
          <w:tcPr>
            <w:tcW w:w="18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66F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subtype</w:t>
            </w:r>
          </w:p>
        </w:tc>
        <w:tc>
          <w:tcPr>
            <w:tcW w:w="19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92BD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typedef 或带说明的等价基础类型</w:t>
            </w:r>
          </w:p>
        </w:tc>
        <w:tc>
          <w:tcPr>
            <w:tcW w:w="17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57AB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适用于 VHDL 中“别名 + 约束”类型；需判断是否保留范围信息</w:t>
            </w:r>
          </w:p>
        </w:tc>
        <w:tc>
          <w:tcPr>
            <w:tcW w:w="56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7015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subtype nibble_t is std_logic_vector(3 downto 0); → typedef logic [3:0] nibble_t;</w:t>
            </w:r>
          </w:p>
          <w:p w14:paraId="2299469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subtype idx_t is integer range 0 to 15; → typedef logic [3:0] idx_t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9A04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subtype 本质是对已有类型再约束；SV 中通常靠 typedef 落地，额外范围约束需在说明或检查规则中补充</w:t>
            </w:r>
          </w:p>
        </w:tc>
      </w:tr>
      <w:tr w14:paraId="6BD0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01A8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T-005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825B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  <w:shd w:val="clear" w:fill="FFFF00"/>
              </w:rPr>
              <w:t>字符串与字符类型</w:t>
            </w:r>
          </w:p>
        </w:tc>
        <w:tc>
          <w:tcPr>
            <w:tcW w:w="189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5441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character / string</w:t>
            </w:r>
          </w:p>
        </w:tc>
        <w:tc>
          <w:tcPr>
            <w:tcW w:w="1991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65C1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byte / string / byte array</w:t>
            </w:r>
          </w:p>
        </w:tc>
        <w:tc>
          <w:tcPr>
            <w:tcW w:w="170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1691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需区分是固定长度索引访问，还是一般文本传递</w:t>
            </w:r>
          </w:p>
        </w:tc>
        <w:tc>
          <w:tcPr>
            <w:tcW w:w="565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EFE0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c: character; → byte c;</w:t>
            </w:r>
          </w:p>
          <w:p w14:paraId="2E51B5D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constant s: string := "ABC"; → string s = "ABC";</w:t>
            </w:r>
          </w:p>
          <w:p w14:paraId="69AA5C5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constant t: string(1 to 4) := "ABCD"; → byte t[1:4] = '{"A","B","C","D"};</w:t>
            </w:r>
          </w:p>
          <w:p w14:paraId="2C8E9DD0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(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若是 RTL 综合代码中的字符串，应映射为显式位宽的 logic [WIDTH-1:0]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)</w:t>
            </w:r>
          </w:p>
        </w:tc>
        <w:tc>
          <w:tcPr>
            <w:tcW w:w="1663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ECD2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character 常落为 byte；string 若仅做文本可直接映射，若依赖固定长度和下标，建议改为 byte array</w:t>
            </w:r>
          </w:p>
        </w:tc>
      </w:tr>
      <w:tr w14:paraId="4DFA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4429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T-006</w:t>
            </w:r>
          </w:p>
        </w:tc>
        <w:tc>
          <w:tcPr>
            <w:tcW w:w="1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1B0C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  <w:shd w:val="clear" w:fill="FFFF00"/>
              </w:rPr>
              <w:t>特殊与非综合类型</w:t>
            </w:r>
          </w:p>
        </w:tc>
        <w:tc>
          <w:tcPr>
            <w:tcW w:w="18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5855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real / time / access / file / protected / physical</w:t>
            </w:r>
          </w:p>
        </w:tc>
        <w:tc>
          <w:tcPr>
            <w:tcW w:w="19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EF3D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real / time / 不自动转换 / 不自动转换 / class或不自动转换 / 不自动转换或改写为time/整数</w:t>
            </w:r>
          </w:p>
        </w:tc>
        <w:tc>
          <w:tcPr>
            <w:tcW w:w="17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9FBF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多数属于 testbench、行为建模或特殊语义；默认不进入 RTL 自动转换主线</w:t>
            </w:r>
          </w:p>
        </w:tc>
        <w:tc>
          <w:tcPr>
            <w:tcW w:w="56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429A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r: real; → real r;</w:t>
            </w:r>
          </w:p>
          <w:p w14:paraId="402484A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constant Tpd: time := 10 ns; → time Tpd = 10ns;</w:t>
            </w:r>
          </w:p>
          <w:p w14:paraId="347BE49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type p_t is access node_t; → 不自动转换</w:t>
            </w:r>
          </w:p>
          <w:p w14:paraId="73DC46B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file f: text; → 不自动转换</w:t>
            </w:r>
          </w:p>
          <w:p w14:paraId="105D4CC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protected type fifo_pt is ... → 不自动转换/人工改写</w:t>
            </w:r>
          </w:p>
          <w:p w14:paraId="5A2F5CB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type len_t is range 0 to 100 units mm; cm = 10 mm; end units; → 不自动转换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F7BE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需人工审查；只有 real/time 可在仿真场景部分保留</w:t>
            </w:r>
          </w:p>
        </w:tc>
      </w:tr>
    </w:tbl>
    <w:p w14:paraId="550A4DC7">
      <w:pPr>
        <w:spacing w:after="80"/>
        <w:jc w:val="both"/>
        <w:rPr>
          <w:rFonts w:hint="default" w:asciiTheme="majorAscii" w:hAnsiTheme="majorAscii"/>
        </w:rPr>
      </w:pPr>
    </w:p>
    <w:p w14:paraId="43E018ED">
      <w:pPr>
        <w:spacing w:before="200" w:after="120"/>
        <w:jc w:val="both"/>
        <w:rPr>
          <w:rFonts w:hint="default" w:asciiTheme="majorAscii" w:hAnsiTheme="majorAscii"/>
        </w:rPr>
      </w:pP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2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. 声明</w:t>
      </w: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映射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规则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336"/>
        <w:gridCol w:w="1896"/>
        <w:gridCol w:w="1990"/>
        <w:gridCol w:w="1705"/>
        <w:gridCol w:w="5664"/>
        <w:gridCol w:w="1663"/>
      </w:tblGrid>
      <w:tr w14:paraId="6916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8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EB758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ID</w:t>
            </w:r>
          </w:p>
        </w:tc>
        <w:tc>
          <w:tcPr>
            <w:tcW w:w="133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BD1F6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类型</w:t>
            </w:r>
          </w:p>
        </w:tc>
        <w:tc>
          <w:tcPr>
            <w:tcW w:w="189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551E1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VHDL模式</w:t>
            </w:r>
          </w:p>
        </w:tc>
        <w:tc>
          <w:tcPr>
            <w:tcW w:w="199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2DCAF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SV模式</w:t>
            </w:r>
          </w:p>
        </w:tc>
        <w:tc>
          <w:tcPr>
            <w:tcW w:w="170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F2AB8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条件</w:t>
            </w:r>
          </w:p>
        </w:tc>
        <w:tc>
          <w:tcPr>
            <w:tcW w:w="566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46781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示例</w:t>
            </w:r>
          </w:p>
        </w:tc>
        <w:tc>
          <w:tcPr>
            <w:tcW w:w="166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F8E10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说明</w:t>
            </w:r>
          </w:p>
        </w:tc>
      </w:tr>
      <w:tr w14:paraId="06DD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55C7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D-001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733C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内部对象声明</w:t>
            </w:r>
          </w:p>
        </w:tc>
        <w:tc>
          <w:tcPr>
            <w:tcW w:w="189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17C9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/ variable / constant</w:t>
            </w:r>
          </w:p>
        </w:tc>
        <w:tc>
          <w:tcPr>
            <w:tcW w:w="199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1E8B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logic / bit / int / localparam</w:t>
            </w:r>
          </w:p>
        </w:tc>
        <w:tc>
          <w:tcPr>
            <w:tcW w:w="17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1AC0B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先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完成类型映射，再决定声明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类型</w:t>
            </w:r>
          </w:p>
        </w:tc>
        <w:tc>
          <w:tcPr>
            <w:tcW w:w="5664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B36E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a : std_logic; → logic a;</w:t>
            </w:r>
          </w:p>
          <w:p w14:paraId="0AFE224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297B764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data : std_logic_vector(7 downto 0); → logic [7:0] data;</w:t>
            </w:r>
          </w:p>
          <w:p w14:paraId="4648611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temp : integer; → int temp;</w:t>
            </w:r>
          </w:p>
          <w:p w14:paraId="6CC2500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constant WIDTH : integer := 8; → localparam int WIDTH = 8;</w:t>
            </w:r>
          </w:p>
        </w:tc>
        <w:tc>
          <w:tcPr>
            <w:tcW w:w="1663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E417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一般映射为模块级对象；variable 多映射为过程内局部变量；constant 优先映射为 localparam</w:t>
            </w:r>
          </w:p>
        </w:tc>
      </w:tr>
      <w:tr w14:paraId="582A9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A570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D-002</w:t>
            </w:r>
          </w:p>
        </w:tc>
        <w:tc>
          <w:tcPr>
            <w:tcW w:w="1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FD83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端口方向声明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EF7A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in / out / inout / buffer / linkage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4E84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input / output / inout / 特殊处理 / 不自动转换</w:t>
            </w:r>
          </w:p>
        </w:tc>
        <w:tc>
          <w:tcPr>
            <w:tcW w:w="1705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22F1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需根据端口是否只读、只写、双向、多驱动决定</w:t>
            </w:r>
          </w:p>
        </w:tc>
        <w:tc>
          <w:tcPr>
            <w:tcW w:w="5664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9374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 : in std_logic; → input logic a;</w:t>
            </w:r>
          </w:p>
          <w:p w14:paraId="51FD785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y : out std_logic_vector(7 downto 0); → output logic [7:0] y;</w:t>
            </w:r>
          </w:p>
          <w:p w14:paraId="6321CEA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io : inout std_logic; → inout logic io;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(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仅适用于单驱动双向抽象；涉及解析型/三态语义时需人工确认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)</w:t>
            </w:r>
          </w:p>
          <w:p w14:paraId="6948077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q : buffer std_logic; → output logic q;</w:t>
            </w:r>
          </w:p>
          <w:p w14:paraId="167D601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zh-CN"/>
              </w:rPr>
            </w:pP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6BF7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in/out/inout 可直接映射</w:t>
            </w:r>
            <w:r>
              <w:rPr>
                <w:rFonts w:hint="default" w:eastAsia="DejaVu Sans Mono" w:asciiTheme="majorAscii" w:hAnsiTheme="majorAscii"/>
                <w:b w:val="0"/>
                <w:sz w:val="18"/>
                <w:shd w:val="clear"/>
              </w:rPr>
              <w:t>；buffer 在 SV 中通常改为 output + 内部信号；linkage 一般不建议自动转换</w:t>
            </w:r>
          </w:p>
        </w:tc>
      </w:tr>
      <w:tr w14:paraId="554C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85F9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D-003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00E7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端口类型与接口写法</w:t>
            </w:r>
          </w:p>
        </w:tc>
        <w:tc>
          <w:tcPr>
            <w:tcW w:w="189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DDA1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entity ... port(...)</w:t>
            </w:r>
          </w:p>
        </w:tc>
        <w:tc>
          <w:tcPr>
            <w:tcW w:w="199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835B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module ... (...)</w:t>
            </w:r>
          </w:p>
        </w:tc>
        <w:tc>
          <w:tcPr>
            <w:tcW w:w="17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293B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需同时处理方向、类型、位宽、接口顺序</w:t>
            </w:r>
          </w:p>
        </w:tc>
        <w:tc>
          <w:tcPr>
            <w:tcW w:w="5664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B5BC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entity demo is port</w:t>
            </w:r>
          </w:p>
          <w:p w14:paraId="6AE61A2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(clk: in std_logic; rst: in std_logic; data: in std_logic_vector(7 downto 0); q: out std_logic_vector(7 downto 0)); end;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→</w:t>
            </w:r>
          </w:p>
          <w:p w14:paraId="6A61955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module demo</w:t>
            </w:r>
          </w:p>
          <w:p w14:paraId="3FF2AF6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(input logic clk, input logic rst, input logic [7:0] data, output logic [7:0] q);</w:t>
            </w:r>
          </w:p>
        </w:tc>
        <w:tc>
          <w:tcPr>
            <w:tcW w:w="1663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6366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重点是“类型如何出现在接口里；</w:t>
            </w:r>
          </w:p>
        </w:tc>
      </w:tr>
      <w:tr w14:paraId="4A31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CDD5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D-004</w:t>
            </w:r>
          </w:p>
        </w:tc>
        <w:tc>
          <w:tcPr>
            <w:tcW w:w="1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D38E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参数声明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7889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 (...)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2D65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parameter / localparam</w:t>
            </w:r>
          </w:p>
        </w:tc>
        <w:tc>
          <w:tcPr>
            <w:tcW w:w="17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3023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适用于模块可配置项；需保留默认值和类型语义</w:t>
            </w:r>
          </w:p>
        </w:tc>
        <w:tc>
          <w:tcPr>
            <w:tcW w:w="5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C23B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 (WIDTH : integer := 8); → parameter int WIDTH = 8;</w:t>
            </w:r>
          </w:p>
          <w:p w14:paraId="6201CA8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 (DEPTH : natural := 16); → parameter int unsigned DEPTH = 16;</w:t>
            </w:r>
          </w:p>
          <w:p w14:paraId="0A05D59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constant ID : integer := 3; → localparam int ID = 3;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186B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 对外配置，优先转 parameter；模块内部固定常量，优先转 localparam</w:t>
            </w:r>
          </w:p>
        </w:tc>
      </w:tr>
      <w:tr w14:paraId="77B8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007A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D-005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66CB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初值与默认值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声明</w:t>
            </w:r>
          </w:p>
        </w:tc>
        <w:tc>
          <w:tcPr>
            <w:tcW w:w="189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33AD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:= ... / variable := ... / generic 默认值 / 端口默认值名</w:t>
            </w:r>
          </w:p>
        </w:tc>
        <w:tc>
          <w:tcPr>
            <w:tcW w:w="199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6ECF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声明赋初值 / always_comb 默认赋值 / parameter 默认值 / 端口默认值需单独处理义</w:t>
            </w:r>
          </w:p>
        </w:tc>
        <w:tc>
          <w:tcPr>
            <w:tcW w:w="17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864C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需区分“声明初值”“复位值”“组合默认值”三种语义</w:t>
            </w:r>
          </w:p>
        </w:tc>
        <w:tc>
          <w:tcPr>
            <w:tcW w:w="5664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765D7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flag : std_logic := '0'; → logic flag = 1'b0;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(需查看是否为复位)</w:t>
            </w:r>
          </w:p>
          <w:p w14:paraId="4E416D5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cnt : integer := 0; → int cnt = 0;</w:t>
            </w:r>
          </w:p>
          <w:p w14:paraId="5457432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 (WIDTH : integer := 8); → parameter int WIDTH = 8;</w:t>
            </w:r>
          </w:p>
          <w:p w14:paraId="14660A1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port(a : in std_logic := '0'); → input logic a /* default='0',需人工确认 */</w:t>
            </w:r>
          </w:p>
        </w:tc>
        <w:tc>
          <w:tcPr>
            <w:tcW w:w="1663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800D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VHDL 端口默认值在 SV 模块端口中通常不能机械等价；组合逻辑中的默认赋值更常应放进 always_comb 内部，而不是只写在声明处</w:t>
            </w:r>
          </w:p>
        </w:tc>
      </w:tr>
      <w:tr w14:paraId="4131D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301FE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w="1336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1EEA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实例化来源规则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9F07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component instantiation / entity instantiation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2CD6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module instantiation</w:t>
            </w:r>
          </w:p>
        </w:tc>
        <w:tc>
          <w:tcPr>
            <w:tcW w:w="17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D9EF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需先解析被实例化对象名、参数覆盖和端口关联；entity 的architecture 名通常不直接保留</w:t>
            </w:r>
          </w:p>
        </w:tc>
        <w:tc>
          <w:tcPr>
            <w:tcW w:w="5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F422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u0 : adder port map(a=&gt;a,b=&gt;b,y=&gt;y); → adder u0 (.a(a), .b(b), .y(y));</w:t>
            </w:r>
          </w:p>
          <w:p w14:paraId="571C556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2391F56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u1 : entity work.adder(rtl) port map(a=&gt;a,b=&gt;b,y=&gt;y); → adder u1 (.a(a), .b(b), .y(y));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B297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component/entity 实例最终都映射为 SV module 实例；实例名通常保留；若原代码依赖特定 architecture/configuration，需人工确认</w:t>
            </w:r>
          </w:p>
        </w:tc>
      </w:tr>
      <w:tr w14:paraId="7CF7E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32BB6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7</w:t>
            </w:r>
          </w:p>
        </w:tc>
        <w:tc>
          <w:tcPr>
            <w:tcW w:w="1336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048A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参数与端口关联规则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1EEA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 map / port map / named association / positional association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EF89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#(...) / (...) / .name(sig) / 位置连接</w:t>
            </w:r>
          </w:p>
        </w:tc>
        <w:tc>
          <w:tcPr>
            <w:tcW w:w="17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A55C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named association 优先；仅当顺序完全一致时才使用 positional association</w:t>
            </w:r>
          </w:p>
        </w:tc>
        <w:tc>
          <w:tcPr>
            <w:tcW w:w="5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32A4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u0 : mod generic map(WIDTH=&gt;8) port map(clk=&gt;clk,rst=&gt;rst,q=&gt;q); → mod #(.WIDTH(8)) u0 (.clk(clk), .rst(rst), .q(q));</w:t>
            </w:r>
          </w:p>
          <w:p w14:paraId="64B5DF9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641EE45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u1 : mod port map(a,b,y); → mod u1 (a,b,y);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6E0F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 map 对应参数覆盖，port map 对应端口连接；为减少顺序风险，规范上建议优先转具名关联</w:t>
            </w:r>
          </w:p>
        </w:tc>
      </w:tr>
      <w:tr w14:paraId="1046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2055D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8</w:t>
            </w:r>
          </w:p>
        </w:tc>
        <w:tc>
          <w:tcPr>
            <w:tcW w:w="1336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0D27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open 关联规则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2D56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open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B872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.port() / 改写为具名空连接</w:t>
            </w:r>
          </w:p>
        </w:tc>
        <w:tc>
          <w:tcPr>
            <w:tcW w:w="17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BCE5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仅适用于允许悬空的端口；位置关联遇到 open 时建议改写为具名关联</w:t>
            </w:r>
          </w:p>
        </w:tc>
        <w:tc>
          <w:tcPr>
            <w:tcW w:w="5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80BA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u0 : mod port map(clk=&gt;clk, q=&gt;open); → mod u0 (.clk(clk), .q());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8924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SV 中 open 更适合写成具名空连接；输入端若出现 open，不建议机械转换，需人工确认是否改为 tie-off</w:t>
            </w:r>
          </w:p>
        </w:tc>
      </w:tr>
      <w:tr w14:paraId="314C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FA76A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D-00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9</w:t>
            </w:r>
          </w:p>
        </w:tc>
        <w:tc>
          <w:tcPr>
            <w:tcW w:w="1336" w:type="dxa"/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B3FEB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特殊声明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5BCF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alias / shared variable / buffer 特殊读回 / file 对象出现在接口或声明中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2365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人工改写 / 拆分实现 / 不自动转换</w:t>
            </w:r>
          </w:p>
        </w:tc>
        <w:tc>
          <w:tcPr>
            <w:tcW w:w="17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EB47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仅在特定工程、TB、共享建模中出现</w:t>
            </w:r>
          </w:p>
        </w:tc>
        <w:tc>
          <w:tcPr>
            <w:tcW w:w="5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7FB7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alias data_lsb : std_logic is data(0); → 不直接自动转换，改为 assign/局部引用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shared variable gv : integer; → 不建议自动转换为普通 RTL 变量</w:t>
            </w:r>
          </w:p>
          <w:p w14:paraId="6D4F51D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q : buffer std_logic; → output logic q + 内部镜像信号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52116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需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人工审查</w:t>
            </w:r>
          </w:p>
        </w:tc>
      </w:tr>
    </w:tbl>
    <w:p w14:paraId="78B1E717">
      <w:pPr>
        <w:spacing w:after="80"/>
        <w:jc w:val="both"/>
        <w:rPr>
          <w:rFonts w:hint="default" w:asciiTheme="majorAscii" w:hAnsiTheme="majorAscii"/>
        </w:rPr>
      </w:pPr>
    </w:p>
    <w:p w14:paraId="39956014">
      <w:pPr>
        <w:spacing w:before="200" w:after="120"/>
        <w:jc w:val="both"/>
        <w:rPr>
          <w:rFonts w:hint="default" w:asciiTheme="majorAscii" w:hAnsiTheme="majorAscii"/>
        </w:rPr>
      </w:pP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3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. 语句</w:t>
      </w: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映射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规则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336"/>
        <w:gridCol w:w="1896"/>
        <w:gridCol w:w="1990"/>
        <w:gridCol w:w="1712"/>
        <w:gridCol w:w="5659"/>
        <w:gridCol w:w="1661"/>
      </w:tblGrid>
      <w:tr w14:paraId="63184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8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057DB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ID</w:t>
            </w:r>
          </w:p>
        </w:tc>
        <w:tc>
          <w:tcPr>
            <w:tcW w:w="133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99A3D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类型</w:t>
            </w:r>
          </w:p>
        </w:tc>
        <w:tc>
          <w:tcPr>
            <w:tcW w:w="189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3EA53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VHDL模式</w:t>
            </w:r>
          </w:p>
        </w:tc>
        <w:tc>
          <w:tcPr>
            <w:tcW w:w="199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75369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SV模式</w:t>
            </w:r>
          </w:p>
        </w:tc>
        <w:tc>
          <w:tcPr>
            <w:tcW w:w="171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6BBF6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条件</w:t>
            </w:r>
          </w:p>
        </w:tc>
        <w:tc>
          <w:tcPr>
            <w:tcW w:w="565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31A69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示例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9894C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说明</w:t>
            </w:r>
          </w:p>
        </w:tc>
      </w:tr>
      <w:tr w14:paraId="0BE6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7516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C-001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33D46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  <w:t>赋值语句</w:t>
            </w:r>
          </w:p>
        </w:tc>
        <w:tc>
          <w:tcPr>
            <w:tcW w:w="189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B515C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  <w:t>variable := ...；signal &lt;= ...（出现在 process / function / procedure 内）</w:t>
            </w:r>
          </w:p>
        </w:tc>
        <w:tc>
          <w:tcPr>
            <w:tcW w:w="199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2977B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  <w:t>= / &lt;=</w:t>
            </w:r>
          </w:p>
        </w:tc>
        <w:tc>
          <w:tcPr>
            <w:tcW w:w="1712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DECF8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必须先判定 process 类型，再判定对象是否跨周期保留状态</w:t>
            </w:r>
          </w:p>
        </w:tc>
        <w:tc>
          <w:tcPr>
            <w:tcW w:w="565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9E37C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temp := a + b; → temp = a + b;</w:t>
            </w:r>
          </w:p>
          <w:p w14:paraId="1D903B3D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</w:p>
          <w:p w14:paraId="7A4640FE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y &lt;= a and b;（组合 process 内）→ y = a &amp; b; ；</w:t>
            </w:r>
          </w:p>
          <w:p w14:paraId="77D276AD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</w:p>
          <w:p w14:paraId="4960AF4A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q &lt;= d;（时钟 process 内）→ q &lt;= d;</w:t>
            </w:r>
          </w:p>
        </w:tc>
        <w:tc>
          <w:tcPr>
            <w:tcW w:w="1661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462A0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:= 不能机械统一映射为 =。组合逻辑中，variable 通常映射为局部变量并使用阻塞赋值 =；在 always_ff 中，若原 variable 仅作为本周期内部中间计算量，可保留为局部变量并使用 =；若原 variable 跨周期保持状态或被综合为寄存器，则应提升为 SV 状态对象（如模块级 logic），并在 always_ff 中使用非阻塞赋值 &lt;=。signal &lt;= 也不能机械统一映射，需结合组合/时序语义判定。</w:t>
            </w:r>
          </w:p>
        </w:tc>
      </w:tr>
      <w:tr w14:paraId="7ECD0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0F7F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C-002</w:t>
            </w:r>
          </w:p>
        </w:tc>
        <w:tc>
          <w:tcPr>
            <w:tcW w:w="1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FAFE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聚合与默认赋值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7B38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(others =&gt; '0') /(others =&gt; '1')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E902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'0 / '1 / '{default:...}</w:t>
            </w:r>
          </w:p>
        </w:tc>
        <w:tc>
          <w:tcPr>
            <w:tcW w:w="17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0EAE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适用于向量、结构体、数组初始化</w:t>
            </w:r>
          </w:p>
        </w:tc>
        <w:tc>
          <w:tcPr>
            <w:tcW w:w="56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710A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result := (others =&gt; '0'); → result = '0;</w:t>
            </w:r>
          </w:p>
          <w:p w14:paraId="0141494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mantissa := (others =&gt; '1'); → mantissa = '1;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3003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packed 向量优先用 '0/'1；</w:t>
            </w:r>
          </w:p>
          <w:p w14:paraId="2B540DFA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'0/'1 主要用于 packed integral type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  <w:t>；</w:t>
            </w:r>
          </w:p>
          <w:p w14:paraId="6CAEE4C5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复杂对象可用 '{default:'0}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  <w:t>；</w:t>
            </w:r>
          </w:p>
          <w:p w14:paraId="63956FC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对 unpacked array / struct / 多层对象，优先 '{default:...}</w:t>
            </w:r>
          </w:p>
        </w:tc>
      </w:tr>
      <w:tr w14:paraId="2C34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2616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C-003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CFF0B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条件与分支语句</w:t>
            </w:r>
          </w:p>
        </w:tc>
        <w:tc>
          <w:tcPr>
            <w:tcW w:w="189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D390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if / elsif / else</w:t>
            </w:r>
          </w:p>
          <w:p w14:paraId="3BA286D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case / when / when others</w:t>
            </w:r>
          </w:p>
        </w:tc>
        <w:tc>
          <w:tcPr>
            <w:tcW w:w="199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5A3D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if / else if / else</w:t>
            </w:r>
          </w:p>
          <w:p w14:paraId="2311606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case / default</w:t>
            </w:r>
          </w:p>
        </w:tc>
        <w:tc>
          <w:tcPr>
            <w:tcW w:w="1712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535A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组合逻辑中应保证分支完整，避免锁存</w:t>
            </w:r>
          </w:p>
        </w:tc>
        <w:tc>
          <w:tcPr>
            <w:tcW w:w="565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A395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if a='1' then y&lt;=b; elsif c='1' then y&lt;=d; else y&lt;=e; end if; → if (a) y = b;else if (c) y = d; else y = e;</w:t>
            </w:r>
          </w:p>
          <w:p w14:paraId="4C913F4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when others =&gt; → default:</w:t>
            </w:r>
          </w:p>
        </w:tc>
        <w:tc>
          <w:tcPr>
            <w:tcW w:w="1661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7B1E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elsif → else if</w:t>
            </w:r>
          </w:p>
          <w:p w14:paraId="5F8DC9E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47EB363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others → default</w:t>
            </w:r>
          </w:p>
        </w:tc>
      </w:tr>
      <w:tr w14:paraId="3419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AB12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C-004</w:t>
            </w:r>
          </w:p>
        </w:tc>
        <w:tc>
          <w:tcPr>
            <w:tcW w:w="1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4111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循环语句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F690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for / while / loop / next / exit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A50B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for / while / continue / break</w:t>
            </w:r>
          </w:p>
        </w:tc>
        <w:tc>
          <w:tcPr>
            <w:tcW w:w="17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7E9F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RTL 优先静态边界 for；while/loop 需确认可综合性</w:t>
            </w:r>
          </w:p>
        </w:tc>
        <w:tc>
          <w:tcPr>
            <w:tcW w:w="56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9F05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for i in 0 to 7 loop sum := sum + data(i); end loop; → for (int i=0; i&lt;=7; i++) sum = sum + data[i];</w:t>
            </w:r>
          </w:p>
          <w:p w14:paraId="533DAA2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next; → continue;</w:t>
            </w:r>
          </w:p>
          <w:p w14:paraId="6057AA2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exit; → break;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7D6B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for 最适合自动转换；动态循环应提高审查级别</w:t>
            </w:r>
          </w:p>
        </w:tc>
      </w:tr>
      <w:tr w14:paraId="02CF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336B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C-005</w:t>
            </w:r>
          </w:p>
        </w:tc>
        <w:tc>
          <w:tcPr>
            <w:tcW w:w="133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10A1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process 分类规则</w:t>
            </w:r>
          </w:p>
        </w:tc>
        <w:tc>
          <w:tcPr>
            <w:tcW w:w="189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B6F1C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process(a,b);</w:t>
            </w:r>
          </w:p>
          <w:p w14:paraId="52FE80D6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process(clk);</w:t>
            </w:r>
          </w:p>
        </w:tc>
        <w:tc>
          <w:tcPr>
            <w:tcW w:w="199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FB32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always_comb；always_ff；always_latch</w:t>
            </w:r>
          </w:p>
        </w:tc>
        <w:tc>
          <w:tcPr>
            <w:tcW w:w="1712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69A8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必须先分类，再决定内部赋值形式</w:t>
            </w:r>
          </w:p>
        </w:tc>
        <w:tc>
          <w:tcPr>
            <w:tcW w:w="565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9305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process(a,b) → always_comb</w:t>
            </w:r>
          </w:p>
          <w:p w14:paraId="318268A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process(clk) if rising_edge(clk) → always_ff @(posedge clk)</w:t>
            </w:r>
          </w:p>
          <w:p w14:paraId="0C73D5B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process(clk,rst) 异步复位 → always_ff @(posedge clk or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posedge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/negedge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 xml:space="preserve"> rst)</w:t>
            </w:r>
          </w:p>
          <w:p w14:paraId="6D23B0D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7A0C126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源代码明确意图实现锁存器 → always_latch</w:t>
            </w:r>
          </w:p>
        </w:tc>
        <w:tc>
          <w:tcPr>
            <w:tcW w:w="1661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F9267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要优先看 rising_edge/falling_edge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  <w:t>；</w:t>
            </w:r>
          </w:p>
          <w:p w14:paraId="669AD1BA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process 语义判定优先于赋值符号判定</w:t>
            </w:r>
            <w:r>
              <w:rPr>
                <w:rFonts w:hint="eastAsia" w:eastAsia="宋体" w:asciiTheme="majorAscii" w:hAnsiTheme="majorAscii"/>
                <w:b w:val="0"/>
                <w:sz w:val="18"/>
                <w:lang w:eastAsia="zh-CN"/>
              </w:rPr>
              <w:t>；</w:t>
            </w:r>
          </w:p>
        </w:tc>
      </w:tr>
      <w:tr w14:paraId="4ECD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2312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C-006</w:t>
            </w:r>
          </w:p>
        </w:tc>
        <w:tc>
          <w:tcPr>
            <w:tcW w:w="13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3D72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并发语句</w:t>
            </w:r>
          </w:p>
        </w:tc>
        <w:tc>
          <w:tcPr>
            <w:tcW w:w="1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82F7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并发简单赋值；when ... else；</w:t>
            </w:r>
          </w:p>
          <w:p w14:paraId="36CA219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with ... select；</w:t>
            </w:r>
          </w:p>
          <w:p w14:paraId="640B2E2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block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6A75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assign；?:；always_comb + case；begin : name ... end</w:t>
            </w:r>
          </w:p>
        </w:tc>
        <w:tc>
          <w:tcPr>
            <w:tcW w:w="17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6A7A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仅适用于 process 外部的并发描述</w:t>
            </w:r>
          </w:p>
        </w:tc>
        <w:tc>
          <w:tcPr>
            <w:tcW w:w="56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BC31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y &lt;= a and b; → assign y = a &amp; b;</w:t>
            </w:r>
          </w:p>
          <w:p w14:paraId="311E596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y &lt;= a when sel='1' else b; → assign y = sel ? a : b;</w:t>
            </w:r>
          </w:p>
          <w:p w14:paraId="1965D05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with sel select y &lt;= a when "00", b when others; → always_comb</w:t>
            </w:r>
          </w:p>
          <w:p w14:paraId="458E9C7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case(sel) ... endcase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4AF7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与 process 内顺序语句分开处理</w:t>
            </w:r>
          </w:p>
        </w:tc>
      </w:tr>
    </w:tbl>
    <w:p w14:paraId="3DE99091">
      <w:pPr>
        <w:spacing w:after="80"/>
        <w:jc w:val="both"/>
        <w:rPr>
          <w:rFonts w:hint="default" w:asciiTheme="majorAscii" w:hAnsiTheme="majorAscii"/>
        </w:rPr>
      </w:pPr>
    </w:p>
    <w:p w14:paraId="321E1B34">
      <w:pPr>
        <w:spacing w:before="200" w:after="120"/>
        <w:jc w:val="both"/>
        <w:rPr>
          <w:rFonts w:hint="default" w:asciiTheme="majorAscii" w:hAnsiTheme="majorAscii"/>
        </w:rPr>
      </w:pP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4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. 子程序</w:t>
      </w: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与封装映射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规则</w:t>
      </w:r>
    </w:p>
    <w:tbl>
      <w:tblPr>
        <w:tblStyle w:val="35"/>
        <w:tblW w:w="0" w:type="auto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1320"/>
        <w:gridCol w:w="1909"/>
        <w:gridCol w:w="1965"/>
        <w:gridCol w:w="1725"/>
        <w:gridCol w:w="5542"/>
        <w:gridCol w:w="113"/>
        <w:gridCol w:w="1650"/>
      </w:tblGrid>
      <w:tr w14:paraId="271E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DA988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ID</w:t>
            </w:r>
          </w:p>
        </w:tc>
        <w:tc>
          <w:tcPr>
            <w:tcW w:w="132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D3D06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类型</w:t>
            </w:r>
          </w:p>
        </w:tc>
        <w:tc>
          <w:tcPr>
            <w:tcW w:w="190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0046F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VHDL模式</w:t>
            </w:r>
          </w:p>
        </w:tc>
        <w:tc>
          <w:tcPr>
            <w:tcW w:w="196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4F97D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SV模式</w:t>
            </w:r>
          </w:p>
        </w:tc>
        <w:tc>
          <w:tcPr>
            <w:tcW w:w="172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202B0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条件</w:t>
            </w:r>
          </w:p>
        </w:tc>
        <w:tc>
          <w:tcPr>
            <w:tcW w:w="5655" w:type="dxa"/>
            <w:gridSpan w:val="2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55A33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示例</w:t>
            </w:r>
          </w:p>
        </w:tc>
        <w:tc>
          <w:tcPr>
            <w:tcW w:w="16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9D00A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说明</w:t>
            </w:r>
          </w:p>
        </w:tc>
      </w:tr>
      <w:tr w14:paraId="3B665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16789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F-001</w:t>
            </w:r>
          </w:p>
        </w:tc>
        <w:tc>
          <w:tcPr>
            <w:tcW w:w="132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890A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 规则</w:t>
            </w:r>
          </w:p>
        </w:tc>
        <w:tc>
          <w:tcPr>
            <w:tcW w:w="190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0AD5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 ... return ... is ... begin</w:t>
            </w:r>
          </w:p>
          <w:p w14:paraId="22B309F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end function;</w:t>
            </w:r>
          </w:p>
        </w:tc>
        <w:tc>
          <w:tcPr>
            <w:tcW w:w="19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0876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 xml:space="preserve"> 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automatic  ...</w:t>
            </w:r>
          </w:p>
          <w:p w14:paraId="32FB8FC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60AB388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endfunction</w:t>
            </w:r>
          </w:p>
        </w:tc>
        <w:tc>
          <w:tcPr>
            <w:tcW w:w="172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68A7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适用于纯组合计算、单返回值、无时序控制</w:t>
            </w:r>
          </w:p>
        </w:tc>
        <w:tc>
          <w:tcPr>
            <w:tcW w:w="5542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88A4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 add_func(a : integer; b : integer) return integer is begin return a + b; end function;</w:t>
            </w:r>
          </w:p>
          <w:p w14:paraId="0116EC5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→</w:t>
            </w:r>
          </w:p>
          <w:p w14:paraId="12F2164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 automatic int add_func(input int a, input int b); return a + b; endfunction</w:t>
            </w:r>
          </w:p>
        </w:tc>
        <w:tc>
          <w:tcPr>
            <w:tcW w:w="1763" w:type="dxa"/>
            <w:gridSpan w:val="2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44177">
            <w:pPr>
              <w:spacing w:before="0" w:after="0" w:line="264" w:lineRule="auto"/>
              <w:jc w:val="both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 xml:space="preserve"> VHDL function 通常优先映射为 SV function</w:t>
            </w:r>
          </w:p>
        </w:tc>
      </w:tr>
      <w:tr w14:paraId="2C9D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6A02A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F-002</w:t>
            </w:r>
          </w:p>
        </w:tc>
        <w:tc>
          <w:tcPr>
            <w:tcW w:w="1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C5AA5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  <w:shd w:val="clear" w:fill="FFFF00"/>
              </w:rPr>
              <w:t xml:space="preserve">procedure 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shd w:val="clear" w:fill="FFFF00"/>
                <w:lang w:val="en-US" w:eastAsia="zh-CN"/>
              </w:rPr>
              <w:t>规则</w:t>
            </w:r>
          </w:p>
        </w:tc>
        <w:tc>
          <w:tcPr>
            <w:tcW w:w="19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65A4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procedure ... is ... begin ...</w:t>
            </w:r>
          </w:p>
          <w:p w14:paraId="5965827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3F0E0A7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end procedure;</w:t>
            </w:r>
          </w:p>
        </w:tc>
        <w:tc>
          <w:tcPr>
            <w:tcW w:w="19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E708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task automatic ... ; ...</w:t>
            </w:r>
          </w:p>
          <w:p w14:paraId="7F261B5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379C664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endtask</w:t>
            </w:r>
          </w:p>
          <w:p w14:paraId="25CFD83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或内联展开</w:t>
            </w:r>
          </w:p>
        </w:tc>
        <w:tc>
          <w:tcPr>
            <w:tcW w:w="17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F58E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适用于无返回值、可能有多个输出参数的过程封装</w:t>
            </w:r>
          </w:p>
        </w:tc>
        <w:tc>
          <w:tcPr>
            <w:tcW w:w="55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CA2B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procedure swap(signal a : out std_logic; signal b : out std_logic) is ...</w:t>
            </w:r>
          </w:p>
          <w:p w14:paraId="299A6BA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→</w:t>
            </w:r>
          </w:p>
          <w:p w14:paraId="4250DBE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task automatic swap(output logic a, output logic b); ... endtask</w:t>
            </w:r>
          </w:p>
        </w:tc>
        <w:tc>
          <w:tcPr>
            <w:tcW w:w="176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9522B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若 procedure 仅用于局部简单逻辑，也可直接展开，不一定必须保留成 task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  <w:t>；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如果 VHDL 的 procedure 是用于 RTL（无时间延迟），</w:t>
            </w:r>
            <w:r>
              <w:rPr>
                <w:rFonts w:hint="default" w:eastAsia="DejaVu Sans Mono" w:asciiTheme="majorAscii" w:hAnsiTheme="majorAscii"/>
                <w:b w:val="0"/>
                <w:sz w:val="18"/>
                <w:shd w:val="clear" w:fill="FFFF00"/>
              </w:rPr>
              <w:t>应优先映射为带 output 或 ref 参数的 function automatic void</w:t>
            </w:r>
          </w:p>
        </w:tc>
      </w:tr>
      <w:tr w14:paraId="1CA1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C3800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F-003</w:t>
            </w:r>
          </w:p>
        </w:tc>
        <w:tc>
          <w:tcPr>
            <w:tcW w:w="132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745C7">
            <w:pPr>
              <w:shd w:val="clear" w:fill="FFFF00"/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function/procedure</w:t>
            </w:r>
          </w:p>
          <w:p w14:paraId="6B47EB86">
            <w:pPr>
              <w:shd w:val="clear" w:fill="FFFF00"/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调用规则</w:t>
            </w:r>
          </w:p>
        </w:tc>
        <w:tc>
          <w:tcPr>
            <w:tcW w:w="190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32A2E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func(a,b)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/</w:t>
            </w:r>
          </w:p>
          <w:p w14:paraId="15BC0B2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proc(a,b,c);</w:t>
            </w:r>
          </w:p>
        </w:tc>
        <w:tc>
          <w:tcPr>
            <w:tcW w:w="19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70765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func(a,b)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/</w:t>
            </w:r>
          </w:p>
          <w:p w14:paraId="6846AB0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task调用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/内联展开</w:t>
            </w:r>
          </w:p>
        </w:tc>
        <w:tc>
          <w:tcPr>
            <w:tcW w:w="172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8FDA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需先判断子程序是单返回值计算，还是过程型封装；对 procedure 不得默认直接映射为 task 调用</w:t>
            </w:r>
          </w:p>
        </w:tc>
        <w:tc>
          <w:tcPr>
            <w:tcW w:w="5542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2A55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x := add_func(a,b); → x = add_func(a,b);</w:t>
            </w:r>
          </w:p>
          <w:p w14:paraId="7365D090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update_flag(a,b); → update_flag(a,b);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(需进行判断)</w:t>
            </w:r>
          </w:p>
        </w:tc>
        <w:tc>
          <w:tcPr>
            <w:tcW w:w="1763" w:type="dxa"/>
            <w:gridSpan w:val="2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F7D65">
            <w:pPr>
              <w:spacing w:before="0" w:after="0" w:line="264" w:lineRule="auto"/>
              <w:jc w:val="both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 用于表达式；procedure/task 更适合多输出或过程型封装</w:t>
            </w:r>
          </w:p>
        </w:tc>
      </w:tr>
      <w:tr w14:paraId="2291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8E707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F-004</w:t>
            </w:r>
          </w:p>
        </w:tc>
        <w:tc>
          <w:tcPr>
            <w:tcW w:w="1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4B1B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参数与局部对象规则</w:t>
            </w:r>
          </w:p>
        </w:tc>
        <w:tc>
          <w:tcPr>
            <w:tcW w:w="19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510F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function/procedure 中的 constant / variable / signal 参数与局部变量</w:t>
            </w:r>
          </w:p>
        </w:tc>
        <w:tc>
          <w:tcPr>
            <w:tcW w:w="19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7311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input / output / inout / ref + 局部变量声明</w:t>
            </w:r>
          </w:p>
        </w:tc>
        <w:tc>
          <w:tcPr>
            <w:tcW w:w="17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29EE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constant 参数通常映射为 input；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参数按数据流方向映射；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参数不得机械映射，需先确认其更新语义</w:t>
            </w:r>
          </w:p>
        </w:tc>
        <w:tc>
          <w:tcPr>
            <w:tcW w:w="55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B98A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 f(constant a : integer) return integer → function automatic int f(input int a);</w:t>
            </w:r>
          </w:p>
          <w:p w14:paraId="143FA03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variable temp : integer; → int temp;</w:t>
            </w:r>
          </w:p>
          <w:p w14:paraId="0AE405D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26898DC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procedure p(signal a : out std_logic) is ...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→ 不得直接机械写为 output logic a，需先确认是否保持原信号语义</w:t>
            </w:r>
          </w:p>
        </w:tc>
        <w:tc>
          <w:tcPr>
            <w:tcW w:w="176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55332">
            <w:pPr>
              <w:spacing w:before="0" w:after="0" w:line="264" w:lineRule="auto"/>
              <w:jc w:val="both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function 内局部变量通常直接映射为 SV 局部变量；方向语义要保持清晰</w:t>
            </w:r>
          </w:p>
        </w:tc>
      </w:tr>
      <w:tr w14:paraId="79C9D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F1A49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F-005</w:t>
            </w:r>
          </w:p>
        </w:tc>
        <w:tc>
          <w:tcPr>
            <w:tcW w:w="132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9648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package 规则</w:t>
            </w:r>
          </w:p>
        </w:tc>
        <w:tc>
          <w:tcPr>
            <w:tcW w:w="190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53EE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package ... is ... end package;</w:t>
            </w:r>
          </w:p>
        </w:tc>
        <w:tc>
          <w:tcPr>
            <w:tcW w:w="19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90AA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package ... ; ... endpackage</w:t>
            </w:r>
          </w:p>
        </w:tc>
        <w:tc>
          <w:tcPr>
            <w:tcW w:w="172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6F6D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适用于公共类型、常量、函数声明的集中封装</w:t>
            </w:r>
          </w:p>
        </w:tc>
        <w:tc>
          <w:tcPr>
            <w:tcW w:w="5542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E334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package math_pkg is constant WIDTH : integer := 8; function add_func(...) return integer; end;</w:t>
            </w:r>
          </w:p>
          <w:p w14:paraId="2773C35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→</w:t>
            </w:r>
          </w:p>
          <w:p w14:paraId="0621391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package math_pkg; localparam int WIDTH = 8; function automatic int add_func(...); ... endfunction endpackage</w:t>
            </w:r>
          </w:p>
        </w:tc>
        <w:tc>
          <w:tcPr>
            <w:tcW w:w="1763" w:type="dxa"/>
            <w:gridSpan w:val="2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F51CE">
            <w:pPr>
              <w:spacing w:before="0" w:after="0" w:line="264" w:lineRule="auto"/>
              <w:jc w:val="both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VHDL package 与 SV package 总体是一一对应的</w:t>
            </w:r>
          </w:p>
        </w:tc>
      </w:tr>
      <w:tr w14:paraId="52A5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64156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F-006</w:t>
            </w:r>
          </w:p>
        </w:tc>
        <w:tc>
          <w:tcPr>
            <w:tcW w:w="1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E691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package body 规则</w:t>
            </w:r>
          </w:p>
        </w:tc>
        <w:tc>
          <w:tcPr>
            <w:tcW w:w="19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FF00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package body ... is ... end package body;</w:t>
            </w:r>
          </w:p>
        </w:tc>
        <w:tc>
          <w:tcPr>
            <w:tcW w:w="19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82E0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直接并入 package 中实现</w:t>
            </w:r>
          </w:p>
        </w:tc>
        <w:tc>
          <w:tcPr>
            <w:tcW w:w="17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77A6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SV 没有与 package body 完全对应的独立二段式结构</w:t>
            </w:r>
          </w:p>
        </w:tc>
        <w:tc>
          <w:tcPr>
            <w:tcW w:w="55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68EF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package body math_pkg is function add_func(...) return integer is ... end function; end;</w:t>
            </w:r>
          </w:p>
          <w:p w14:paraId="6BE7621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/>
                <w:bCs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→</w:t>
            </w:r>
          </w:p>
          <w:p w14:paraId="2FE8312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/>
                <w:bCs/>
                <w:sz w:val="18"/>
              </w:rPr>
              <w:t>package math_pkg; function auto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matic int add_func(...); ... endfunction endpackage</w:t>
            </w:r>
          </w:p>
        </w:tc>
        <w:tc>
          <w:tcPr>
            <w:tcW w:w="176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8EF25">
            <w:pPr>
              <w:spacing w:before="0" w:after="0" w:line="264" w:lineRule="auto"/>
              <w:jc w:val="both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VHDL 的“声明/实现分离”在 SV 中通常合并到同一个 package 中</w:t>
            </w:r>
          </w:p>
        </w:tc>
      </w:tr>
      <w:tr w14:paraId="4260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B1738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 w:val="0"/>
                <w:sz w:val="18"/>
              </w:rPr>
              <w:t>F-00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7</w:t>
            </w:r>
          </w:p>
        </w:tc>
        <w:tc>
          <w:tcPr>
            <w:tcW w:w="1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DEEF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库与导入规则</w:t>
            </w:r>
          </w:p>
        </w:tc>
        <w:tc>
          <w:tcPr>
            <w:tcW w:w="19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F025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library ieee; use ieee.std_logic_1164.all; use work.my_pkg.all;</w:t>
            </w:r>
          </w:p>
        </w:tc>
        <w:tc>
          <w:tcPr>
            <w:tcW w:w="19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720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import pkg::*; 或保留必要 include/import</w:t>
            </w:r>
          </w:p>
        </w:tc>
        <w:tc>
          <w:tcPr>
            <w:tcW w:w="17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7A7F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需区分标准库、自定义包、厂商包</w:t>
            </w:r>
          </w:p>
        </w:tc>
        <w:tc>
          <w:tcPr>
            <w:tcW w:w="55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E929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use work.fp_pkg.all; → import fp_pkg::*;</w:t>
            </w:r>
          </w:p>
        </w:tc>
        <w:tc>
          <w:tcPr>
            <w:tcW w:w="176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B6440">
            <w:pPr>
              <w:spacing w:before="0" w:after="0" w:line="264" w:lineRule="auto"/>
              <w:jc w:val="both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VHDL 的 library/use 体系在 SV 中通常简化为 import package::*；标准库类型则直接映射为 SV 基础类型</w:t>
            </w:r>
          </w:p>
        </w:tc>
      </w:tr>
    </w:tbl>
    <w:p w14:paraId="54599B87">
      <w:pPr>
        <w:spacing w:after="80"/>
        <w:jc w:val="both"/>
        <w:rPr>
          <w:rFonts w:hint="default" w:asciiTheme="majorAscii" w:hAnsiTheme="majorAscii"/>
        </w:rPr>
      </w:pPr>
    </w:p>
    <w:p w14:paraId="76A5DFD2">
      <w:pPr>
        <w:spacing w:before="200" w:after="120"/>
        <w:jc w:val="both"/>
        <w:rPr>
          <w:rFonts w:hint="default" w:asciiTheme="majorAscii" w:hAnsiTheme="majorAscii"/>
        </w:rPr>
      </w:pP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5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. generate与参数</w:t>
      </w: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转换映射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规则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322"/>
        <w:gridCol w:w="1910"/>
        <w:gridCol w:w="1990"/>
        <w:gridCol w:w="1696"/>
        <w:gridCol w:w="5673"/>
        <w:gridCol w:w="1663"/>
      </w:tblGrid>
      <w:tr w14:paraId="6E9E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8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87AEE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ID</w:t>
            </w:r>
          </w:p>
        </w:tc>
        <w:tc>
          <w:tcPr>
            <w:tcW w:w="132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33B1D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类型</w:t>
            </w:r>
          </w:p>
        </w:tc>
        <w:tc>
          <w:tcPr>
            <w:tcW w:w="191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D1E3D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VHDL模式</w:t>
            </w:r>
          </w:p>
        </w:tc>
        <w:tc>
          <w:tcPr>
            <w:tcW w:w="199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90CC8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SV模式</w:t>
            </w:r>
          </w:p>
        </w:tc>
        <w:tc>
          <w:tcPr>
            <w:tcW w:w="169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79EF2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条件</w:t>
            </w:r>
          </w:p>
        </w:tc>
        <w:tc>
          <w:tcPr>
            <w:tcW w:w="567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5D05C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示例</w:t>
            </w:r>
          </w:p>
        </w:tc>
        <w:tc>
          <w:tcPr>
            <w:tcW w:w="166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5D9E1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说明</w:t>
            </w:r>
          </w:p>
        </w:tc>
      </w:tr>
      <w:tr w14:paraId="001B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71DA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GNR-001</w:t>
            </w:r>
          </w:p>
        </w:tc>
        <w:tc>
          <w:tcPr>
            <w:tcW w:w="1322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B018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参数化规则</w:t>
            </w:r>
          </w:p>
        </w:tc>
        <w:tc>
          <w:tcPr>
            <w:tcW w:w="191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8064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generic；generic 默认值；generic map；派生常量</w:t>
            </w:r>
          </w:p>
        </w:tc>
        <w:tc>
          <w:tcPr>
            <w:tcW w:w="199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709A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parameter；localparam；实例化参数覆盖 #(...)</w:t>
            </w:r>
          </w:p>
        </w:tc>
        <w:tc>
          <w:tcPr>
            <w:tcW w:w="1696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E10F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由参数决定、在展开期确定的结构</w:t>
            </w:r>
          </w:p>
        </w:tc>
        <w:tc>
          <w:tcPr>
            <w:tcW w:w="5673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F429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generic (WIDTH : integer := 8); → parameter int WIDTH = 8;</w:t>
            </w:r>
          </w:p>
          <w:p w14:paraId="0AFCDDB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constant AW : integer := clog2(DEPTH); → localparam int AW = $clog2(DEPTH);</w:t>
            </w:r>
          </w:p>
          <w:p w14:paraId="596C35C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u1 : entity work.mod generic map (WIDTH =&gt; 16) port map (...); → mod #(.WIDTH(16)) u1 (...);</w:t>
            </w:r>
          </w:p>
        </w:tc>
        <w:tc>
          <w:tcPr>
            <w:tcW w:w="1663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0181D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主要为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参数设置、覆盖和使用</w:t>
            </w:r>
          </w:p>
        </w:tc>
      </w:tr>
      <w:tr w14:paraId="0800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ABE8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GNR-002</w:t>
            </w:r>
          </w:p>
        </w:tc>
        <w:tc>
          <w:tcPr>
            <w:tcW w:w="13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9AB0B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generate与参数驱动结构</w:t>
            </w:r>
          </w:p>
        </w:tc>
        <w:tc>
          <w:tcPr>
            <w:tcW w:w="19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00B5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if generate；for generate；参数参与位宽、维度、实例数量、结构选择</w:t>
            </w:r>
          </w:p>
        </w:tc>
        <w:tc>
          <w:tcPr>
            <w:tcW w:w="19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3B38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generate if；genvar + for-generate；参数化位宽/维度/结构</w:t>
            </w:r>
          </w:p>
        </w:tc>
        <w:tc>
          <w:tcPr>
            <w:tcW w:w="16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FF36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参数必须是展开期常量；for generate 的索引用 genvar</w:t>
            </w:r>
          </w:p>
        </w:tc>
        <w:tc>
          <w:tcPr>
            <w:tcW w:w="56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D5F7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signal data : std_logic_vector(WIDTH-1 downto 0); → logic [WIDTH-1:0] data;</w:t>
            </w:r>
          </w:p>
          <w:p w14:paraId="7D2BE37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gen_reg : if USE_REG = true generate ... end generate; → generate if (USE_REG) begin : gen_reg ... end endgenerate</w:t>
            </w:r>
          </w:p>
          <w:p w14:paraId="08E59E1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gen_blk : for i in 0 to 3 generate ... end generate; → genvar i; generate for (i=0; i&lt;4; i++) begin : gen_blk ... end endgenerate</w:t>
            </w:r>
          </w:p>
        </w:tc>
        <w:tc>
          <w:tcPr>
            <w:tcW w:w="16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39BA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注意与运行时 if 区分</w:t>
            </w:r>
          </w:p>
        </w:tc>
      </w:tr>
    </w:tbl>
    <w:p w14:paraId="3BEC39B1">
      <w:pPr>
        <w:spacing w:after="80"/>
        <w:jc w:val="both"/>
        <w:rPr>
          <w:rFonts w:hint="default" w:asciiTheme="majorAscii" w:hAnsiTheme="majorAscii"/>
        </w:rPr>
      </w:pPr>
    </w:p>
    <w:p w14:paraId="634423E8">
      <w:pPr>
        <w:spacing w:before="200" w:after="120"/>
        <w:jc w:val="both"/>
        <w:rPr>
          <w:rFonts w:hint="default" w:asciiTheme="majorAscii" w:hAnsiTheme="majorAscii"/>
        </w:rPr>
      </w:pP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6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. 属性、位宽、索引方向</w:t>
      </w: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映射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规则</w:t>
      </w:r>
    </w:p>
    <w:tbl>
      <w:tblPr>
        <w:tblStyle w:val="35"/>
        <w:tblW w:w="151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1305"/>
        <w:gridCol w:w="1935"/>
        <w:gridCol w:w="1995"/>
        <w:gridCol w:w="1695"/>
        <w:gridCol w:w="5665"/>
        <w:gridCol w:w="1658"/>
      </w:tblGrid>
      <w:tr w14:paraId="1EDC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8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951D9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ID</w:t>
            </w:r>
          </w:p>
        </w:tc>
        <w:tc>
          <w:tcPr>
            <w:tcW w:w="130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98868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类型</w:t>
            </w:r>
          </w:p>
        </w:tc>
        <w:tc>
          <w:tcPr>
            <w:tcW w:w="193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A5F82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VHDL模式</w:t>
            </w:r>
          </w:p>
        </w:tc>
        <w:tc>
          <w:tcPr>
            <w:tcW w:w="19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A5219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SV模式</w:t>
            </w:r>
          </w:p>
        </w:tc>
        <w:tc>
          <w:tcPr>
            <w:tcW w:w="16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9861B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条件</w:t>
            </w:r>
          </w:p>
        </w:tc>
        <w:tc>
          <w:tcPr>
            <w:tcW w:w="566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5F08F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示例</w:t>
            </w:r>
          </w:p>
        </w:tc>
        <w:tc>
          <w:tcPr>
            <w:tcW w:w="165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69511">
            <w:pPr>
              <w:spacing w:before="0" w:after="0" w:line="264" w:lineRule="auto"/>
              <w:jc w:val="both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说明</w:t>
            </w:r>
          </w:p>
        </w:tc>
      </w:tr>
      <w:tr w14:paraId="4F7C2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2A6E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A-001</w:t>
            </w:r>
          </w:p>
        </w:tc>
        <w:tc>
          <w:tcPr>
            <w:tcW w:w="13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861B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属性与边界规则</w:t>
            </w:r>
          </w:p>
        </w:tc>
        <w:tc>
          <w:tcPr>
            <w:tcW w:w="193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EA1F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'length / 'high / 'low / 'left / 'right / 'range</w:t>
            </w:r>
          </w:p>
        </w:tc>
        <w:tc>
          <w:tcPr>
            <w:tcW w:w="19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4C94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$bits(...)；显式上下界；参数化边界表达式</w:t>
            </w:r>
          </w:p>
        </w:tc>
        <w:tc>
          <w:tcPr>
            <w:tcW w:w="16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F9BE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需结合对象声明方向和类型推导，数组或多维对象不得机械替换</w:t>
            </w:r>
          </w:p>
        </w:tc>
        <w:tc>
          <w:tcPr>
            <w:tcW w:w="56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B4A7A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a'length → $bits(a)</w:t>
            </w:r>
          </w:p>
          <w:p w14:paraId="34FE8D25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（仅当 a 为单维 packed 向量时）</w:t>
            </w:r>
          </w:p>
          <w:p w14:paraId="0CCC6B6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a'high / a'low → 上下界常量或参数表达式</w:t>
            </w:r>
          </w:p>
          <w:p w14:paraId="03A1C14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a'range → 按声明范围展开</w:t>
            </w:r>
          </w:p>
        </w:tc>
        <w:tc>
          <w:tcPr>
            <w:tcW w:w="165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5D04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'left/'right/'high/'low 往往依赖原声明方向；RTL 下建议优先展开成明确边界</w:t>
            </w:r>
          </w:p>
        </w:tc>
      </w:tr>
      <w:tr w14:paraId="1B8E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F3FC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A-002</w:t>
            </w:r>
          </w:p>
        </w:tc>
        <w:tc>
          <w:tcPr>
            <w:tcW w:w="13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7902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拼接规则</w:t>
            </w:r>
          </w:p>
        </w:tc>
        <w:tc>
          <w:tcPr>
            <w:tcW w:w="19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034E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"001" &amp; abc；a &amp; b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9487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{3'b001, abc}；{a, b}</w:t>
            </w:r>
          </w:p>
        </w:tc>
        <w:tc>
          <w:tcPr>
            <w:tcW w:w="16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6332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需确认常量宽度、拼接顺序和目标位宽</w:t>
            </w:r>
          </w:p>
        </w:tc>
        <w:tc>
          <w:tcPr>
            <w:tcW w:w="5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DA28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a1 &lt;= "001" &amp; abc; → assign a1 = {3'b001, abc};</w:t>
            </w:r>
          </w:p>
        </w:tc>
        <w:tc>
          <w:tcPr>
            <w:tcW w:w="16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33B3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&amp; 在这里表示位拼接，不是按位与；属于高频基础自动规则</w:t>
            </w:r>
          </w:p>
        </w:tc>
      </w:tr>
      <w:tr w14:paraId="7046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D91D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A-003</w:t>
            </w:r>
          </w:p>
        </w:tc>
        <w:tc>
          <w:tcPr>
            <w:tcW w:w="13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0EFE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扩展与截断规则</w:t>
            </w:r>
          </w:p>
        </w:tc>
        <w:tc>
          <w:tcPr>
            <w:tcW w:w="193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3ED5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resize</w:t>
            </w:r>
          </w:p>
        </w:tc>
        <w:tc>
          <w:tcPr>
            <w:tcW w:w="19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59EB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显式位宽赋值 + $signed/$unsigned + 截断表达式</w:t>
            </w:r>
          </w:p>
        </w:tc>
        <w:tc>
          <w:tcPr>
            <w:tcW w:w="16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D3B4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需明确是零扩展、符号扩展还是低位截断</w:t>
            </w:r>
          </w:p>
        </w:tc>
        <w:tc>
          <w:tcPr>
            <w:tcW w:w="56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A8ED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 &lt;= std_logic_vector(resize(unsigned(abc), a'length)); → assign a = logic [A_W-1:0]'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(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$unsigned(abc)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)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;</w:t>
            </w:r>
          </w:p>
          <w:p w14:paraId="4CE1A93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 xml:space="preserve">a1 &lt;= std_logic_vector(resize(signed(abc1), a1'length)); → assign a1 = logic 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 xml:space="preserve">signed 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[A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1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_W-1:0]'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(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$signed(abc1)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)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;</w:t>
            </w:r>
          </w:p>
        </w:tc>
        <w:tc>
          <w:tcPr>
            <w:tcW w:w="165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3B11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必须强调语义：无符号高位补0，有符号符号位扩展，目标位宽更小时通常截低有效位</w:t>
            </w:r>
          </w:p>
          <w:p w14:paraId="4E5F293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 xml:space="preserve">目标位宽更大：无符号补 0，有符号补符号位； </w:t>
            </w:r>
          </w:p>
          <w:p w14:paraId="615ED1F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目标位宽更小：默认截断高位，但必须确认与原设计意图一致。</w:t>
            </w:r>
          </w:p>
          <w:p w14:paraId="3377665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</w:tc>
      </w:tr>
      <w:tr w14:paraId="2A0C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AF1A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A-004</w:t>
            </w:r>
          </w:p>
        </w:tc>
        <w:tc>
          <w:tcPr>
            <w:tcW w:w="13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4AA0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索引与切片规则</w:t>
            </w:r>
          </w:p>
        </w:tc>
        <w:tc>
          <w:tcPr>
            <w:tcW w:w="19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999B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a(i)；a(7 downto 0)；a(i+3 downto i)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E53E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a[i]；a[7:0]；a[i+3:i]</w:t>
            </w:r>
          </w:p>
        </w:tc>
        <w:tc>
          <w:tcPr>
            <w:tcW w:w="16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B154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需先确认对象是向量还是数组，并确认方向关系</w:t>
            </w:r>
          </w:p>
        </w:tc>
        <w:tc>
          <w:tcPr>
            <w:tcW w:w="5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D2E4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b_value(i) → b_value[i]</w:t>
            </w:r>
          </w:p>
          <w:p w14:paraId="12D1D25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data(7 downto 0) → data[7:0]</w:t>
            </w:r>
          </w:p>
        </w:tc>
        <w:tc>
          <w:tcPr>
            <w:tcW w:w="16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8DB4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索引替换简单但高频；切片规则不能漏，否则位序和边界很容易出错</w:t>
            </w:r>
          </w:p>
        </w:tc>
      </w:tr>
      <w:tr w14:paraId="7BFC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1667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A-005</w:t>
            </w:r>
          </w:p>
        </w:tc>
        <w:tc>
          <w:tcPr>
            <w:tcW w:w="13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BBBD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方向规则</w:t>
            </w:r>
          </w:p>
        </w:tc>
        <w:tc>
          <w:tcPr>
            <w:tcW w:w="193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7652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downto / to</w:t>
            </w:r>
          </w:p>
        </w:tc>
        <w:tc>
          <w:tcPr>
            <w:tcW w:w="19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4EEF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保持原方向的 packed range，或在严格受控下统一改写方向</w:t>
            </w:r>
          </w:p>
        </w:tc>
        <w:tc>
          <w:tcPr>
            <w:tcW w:w="16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7B51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原则上保持原索引方向不变；仅在跨模块接口或项目规范强制统一总线方向时，才允许做方向归一化</w:t>
            </w:r>
          </w:p>
        </w:tc>
        <w:tc>
          <w:tcPr>
            <w:tcW w:w="56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CED8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std_logic_vector(7 downto 0) → logic [7:0]</w:t>
            </w:r>
          </w:p>
          <w:p w14:paraId="792F255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3B9D849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std_logic_vector(0 to 7) → logic [0:7]</w:t>
            </w:r>
          </w:p>
        </w:tc>
        <w:tc>
          <w:tcPr>
            <w:tcW w:w="165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E531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默认策略是保持原方向不变，以避免索引、切片和位序错乱。仅当项目明确要求统一为下降方向时，才允许做方向翻转；此时必须同步重写全部索引、切片及基于 'left/'right/'range 的表达式，并通过工具或严格审查保证位序一致，不建议人工局部改写。</w:t>
            </w:r>
          </w:p>
        </w:tc>
      </w:tr>
      <w:tr w14:paraId="407E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98D4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A-006</w:t>
            </w:r>
          </w:p>
        </w:tc>
        <w:tc>
          <w:tcPr>
            <w:tcW w:w="13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0CE0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幂运算</w:t>
            </w:r>
          </w:p>
        </w:tc>
        <w:tc>
          <w:tcPr>
            <w:tcW w:w="19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91BC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**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1257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&lt;&lt; 或保留 **</w:t>
            </w:r>
          </w:p>
        </w:tc>
        <w:tc>
          <w:tcPr>
            <w:tcW w:w="16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DB1B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当且仅当底数为 2 时，优先改写为移位；其他情况需确认工具支持与语义等价性</w:t>
            </w:r>
          </w:p>
        </w:tc>
        <w:tc>
          <w:tcPr>
            <w:tcW w:w="5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7215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2 ** N → logic [W-1:0]'(1) &lt;&lt; N</w:t>
            </w:r>
          </w:p>
        </w:tc>
        <w:tc>
          <w:tcPr>
            <w:tcW w:w="16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814D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使用可明确综合的写法</w:t>
            </w:r>
          </w:p>
        </w:tc>
      </w:tr>
      <w:tr w14:paraId="71A7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5A7C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A-007</w:t>
            </w:r>
          </w:p>
        </w:tc>
        <w:tc>
          <w:tcPr>
            <w:tcW w:w="13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3A430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进制字面量规则</w:t>
            </w:r>
          </w:p>
        </w:tc>
        <w:tc>
          <w:tcPr>
            <w:tcW w:w="19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3C86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x"FF" / o"17" / b"1010"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CA69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8'hFF / 6'o17 / 4'b1010</w:t>
            </w:r>
          </w:p>
        </w:tc>
        <w:tc>
          <w:tcPr>
            <w:tcW w:w="16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4A85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需显式确认位宽；位宽由原字面量长度推导</w:t>
            </w:r>
          </w:p>
        </w:tc>
        <w:tc>
          <w:tcPr>
            <w:tcW w:w="5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F9B9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x"FF" → 8'hFF；</w:t>
            </w:r>
          </w:p>
          <w:p w14:paraId="0CA8AB8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206C131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o"17" → 6'o17；</w:t>
            </w:r>
          </w:p>
          <w:p w14:paraId="4F5B5B2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0AA4B7D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b"1010" → 4'b1010</w:t>
            </w:r>
          </w:p>
        </w:tc>
        <w:tc>
          <w:tcPr>
            <w:tcW w:w="16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2BB6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十六进制每位 4 bit，八进制每位 3 bit，二进制每位 1 bit；不建议丢掉原宽度信息</w:t>
            </w:r>
          </w:p>
        </w:tc>
      </w:tr>
      <w:tr w14:paraId="021E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1ADD0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8</w:t>
            </w:r>
          </w:p>
        </w:tc>
        <w:tc>
          <w:tcPr>
            <w:tcW w:w="13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F5A9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单值与 std_logic 字面量规则</w:t>
            </w:r>
          </w:p>
        </w:tc>
        <w:tc>
          <w:tcPr>
            <w:tcW w:w="19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4F7F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'0' / '1' / 'Z' / 'X' / 'U' / 'W' / 'L' / 'H' / '-'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9AF6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1'b0 / 1'b1 / 1'bz / 1'bx / 特殊处理</w:t>
            </w:r>
          </w:p>
        </w:tc>
        <w:tc>
          <w:tcPr>
            <w:tcW w:w="16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1A51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仅当目标是单比特或位向量元素时直接映射；需确认是否接受语义折损</w:t>
            </w:r>
          </w:p>
        </w:tc>
        <w:tc>
          <w:tcPr>
            <w:tcW w:w="5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E5E1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'0' → 1'b0；</w:t>
            </w:r>
          </w:p>
          <w:p w14:paraId="1FCBC2D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5649FDC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'1' → 1'b1；</w:t>
            </w:r>
          </w:p>
          <w:p w14:paraId="15FAB72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284CB95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'Z' → 1'bz；</w:t>
            </w:r>
          </w:p>
          <w:p w14:paraId="529985C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7B1BF18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'X' → 1'bx</w:t>
            </w:r>
          </w:p>
        </w:tc>
        <w:tc>
          <w:tcPr>
            <w:tcW w:w="16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F9E2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SV 原生只覆盖 0/1/x/z 四态；U/W/L/H/- 无完全等价，建议标注为“需人工确认映射策略”，不要机械替换</w:t>
            </w:r>
          </w:p>
        </w:tc>
      </w:tr>
      <w:tr w14:paraId="0497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AE9BE">
            <w:pPr>
              <w:spacing w:before="0" w:after="0" w:line="264" w:lineRule="auto"/>
              <w:jc w:val="center"/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A-00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val="en-US" w:eastAsia="zh-CN"/>
              </w:rPr>
              <w:t>9</w:t>
            </w:r>
          </w:p>
        </w:tc>
        <w:tc>
          <w:tcPr>
            <w:tcW w:w="13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10A3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位串字面量使用规则</w:t>
            </w:r>
          </w:p>
        </w:tc>
        <w:tc>
          <w:tcPr>
            <w:tcW w:w="19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4B1B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位串字面量出现在拼接 / 比较 / case 分支中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1198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显式带宽位串常量</w:t>
            </w:r>
          </w:p>
        </w:tc>
        <w:tc>
          <w:tcPr>
            <w:tcW w:w="16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712D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需根据字面量长度补足宽度</w:t>
            </w:r>
          </w:p>
        </w:tc>
        <w:tc>
          <w:tcPr>
            <w:tcW w:w="5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F5C4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"001" &amp; a → {3'b001, a}</w:t>
            </w:r>
          </w:p>
          <w:p w14:paraId="22FCE75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04385B6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if sel = "10" then → if (sel == 2'b10)</w:t>
            </w:r>
          </w:p>
          <w:p w14:paraId="2B42D5F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  <w:p w14:paraId="79399E0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when "10" =&gt; → 2'b10:</w:t>
            </w:r>
          </w:p>
        </w:tc>
        <w:tc>
          <w:tcPr>
            <w:tcW w:w="16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39E9B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位串字面量在拼接、比较、case 中都应显式带宽，避免无宽度常量带来的推导歧义</w:t>
            </w:r>
          </w:p>
        </w:tc>
      </w:tr>
    </w:tbl>
    <w:p w14:paraId="0A6B21B9">
      <w:pPr>
        <w:spacing w:before="200" w:after="120"/>
        <w:jc w:val="both"/>
        <w:rPr>
          <w:rFonts w:hint="default" w:eastAsia="Noto Sans CJK SC" w:asciiTheme="majorAscii" w:hAnsiTheme="majorAscii"/>
          <w:b/>
          <w:color w:val="1F4E79"/>
          <w:sz w:val="30"/>
        </w:rPr>
      </w:pPr>
    </w:p>
    <w:p w14:paraId="00DA4A10">
      <w:pPr>
        <w:spacing w:before="200" w:after="120"/>
        <w:jc w:val="both"/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</w:pP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7</w:t>
      </w:r>
      <w:r>
        <w:rPr>
          <w:rFonts w:hint="default" w:eastAsia="Noto Sans CJK SC" w:asciiTheme="majorAscii" w:hAnsiTheme="majorAscii"/>
          <w:b/>
          <w:color w:val="1F4E79"/>
          <w:sz w:val="30"/>
        </w:rPr>
        <w:t>. 常用操作符与函数规则</w:t>
      </w: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映射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1305"/>
        <w:gridCol w:w="1935"/>
        <w:gridCol w:w="1995"/>
        <w:gridCol w:w="1695"/>
        <w:gridCol w:w="5665"/>
        <w:gridCol w:w="1658"/>
      </w:tblGrid>
      <w:tr w14:paraId="604EE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8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7B0BE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ID</w:t>
            </w:r>
          </w:p>
        </w:tc>
        <w:tc>
          <w:tcPr>
            <w:tcW w:w="130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385BB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类型</w:t>
            </w:r>
          </w:p>
        </w:tc>
        <w:tc>
          <w:tcPr>
            <w:tcW w:w="193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D9C85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VHDL模式</w:t>
            </w:r>
          </w:p>
        </w:tc>
        <w:tc>
          <w:tcPr>
            <w:tcW w:w="19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0AFF4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SV模式</w:t>
            </w:r>
          </w:p>
        </w:tc>
        <w:tc>
          <w:tcPr>
            <w:tcW w:w="16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ECA47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条件</w:t>
            </w:r>
          </w:p>
        </w:tc>
        <w:tc>
          <w:tcPr>
            <w:tcW w:w="566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52B38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示例</w:t>
            </w:r>
          </w:p>
        </w:tc>
        <w:tc>
          <w:tcPr>
            <w:tcW w:w="165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404E9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19"/>
              </w:rPr>
              <w:t>说明</w:t>
            </w:r>
          </w:p>
        </w:tc>
      </w:tr>
      <w:tr w14:paraId="0500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87AB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U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-001</w:t>
            </w:r>
          </w:p>
        </w:tc>
        <w:tc>
          <w:tcPr>
            <w:tcW w:w="13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BA00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比较与逻辑操作符</w:t>
            </w:r>
          </w:p>
        </w:tc>
        <w:tc>
          <w:tcPr>
            <w:tcW w:w="193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BE8D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= / /= / and / or / not / xor / xnor</w:t>
            </w:r>
          </w:p>
        </w:tc>
        <w:tc>
          <w:tcPr>
            <w:tcW w:w="19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E666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== / != / &amp; / | / ~ / ^ / ~^ 或 &amp;&amp; / || / !</w:t>
            </w:r>
          </w:p>
        </w:tc>
        <w:tc>
          <w:tcPr>
            <w:tcW w:w="16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12939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需先区分“按位运算”还是“逻辑判断”</w:t>
            </w:r>
          </w:p>
        </w:tc>
        <w:tc>
          <w:tcPr>
            <w:tcW w:w="56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9146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if a = b then → if (a == b)</w:t>
            </w:r>
          </w:p>
          <w:p w14:paraId="005543C7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if a /= b then → if (a != b)</w:t>
            </w:r>
          </w:p>
          <w:p w14:paraId="7045C72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y &lt;= a and b; → y = a &amp; b;</w:t>
            </w:r>
          </w:p>
        </w:tc>
        <w:tc>
          <w:tcPr>
            <w:tcW w:w="165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3379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若原操作数为 VHDL boolean 类型或返回 boolean 的比较表达式（如 if (a = b and c = d)），必须映射为 SV 的逻辑操作符 &amp;&amp;、||；若操作数为位向量类型，则映射为按位操作符 &amp;、|</w:t>
            </w:r>
          </w:p>
        </w:tc>
      </w:tr>
      <w:tr w14:paraId="6926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70C1F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U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-002</w:t>
            </w:r>
          </w:p>
        </w:tc>
        <w:tc>
          <w:tcPr>
            <w:tcW w:w="13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3F95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算术与移位操作符</w:t>
            </w:r>
          </w:p>
        </w:tc>
        <w:tc>
          <w:tcPr>
            <w:tcW w:w="19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9ADD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+ / - / * / sll / srl / sla / sra / rol / ror / **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6269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+ / - / * / &lt;&lt; / &gt;&gt; / &lt;&lt;&lt; / &gt;&gt;&gt; / {旋转改写} / &lt;&lt; 或保留 **</w:t>
            </w:r>
          </w:p>
        </w:tc>
        <w:tc>
          <w:tcPr>
            <w:tcW w:w="16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8210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需区分逻辑移位、算术移位、循环移位、幂运算</w:t>
            </w:r>
          </w:p>
        </w:tc>
        <w:tc>
          <w:tcPr>
            <w:tcW w:w="5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31EA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 sll 2 → a &lt;&lt; 2</w:t>
            </w:r>
          </w:p>
          <w:p w14:paraId="79A80FD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 srl 2 → a &gt;&gt; 2</w:t>
            </w:r>
          </w:p>
          <w:p w14:paraId="34096AF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a sra 2 → $signed(a) &gt;&gt;&gt; 2</w:t>
            </w:r>
          </w:p>
          <w:p w14:paraId="483ED9A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2 ** N →logic [W-1:0]'(1)  &lt;&lt; N</w:t>
            </w:r>
          </w:p>
        </w:tc>
        <w:tc>
          <w:tcPr>
            <w:tcW w:w="16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94B4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 xml:space="preserve">sra 要特别注意 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符号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；rol/ror 一般需改写为拼接+移位；2 ** N 可优先改写成移位</w:t>
            </w:r>
          </w:p>
        </w:tc>
      </w:tr>
      <w:tr w14:paraId="3B2E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59DE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U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-003</w:t>
            </w:r>
          </w:p>
        </w:tc>
        <w:tc>
          <w:tcPr>
            <w:tcW w:w="13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CCED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类型转换函数</w:t>
            </w:r>
          </w:p>
        </w:tc>
        <w:tc>
          <w:tcPr>
            <w:tcW w:w="193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3168E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unsigned(...) / signed(...) / std_logic_vector(...) / to_integer(...)</w:t>
            </w:r>
          </w:p>
        </w:tc>
        <w:tc>
          <w:tcPr>
            <w:tcW w:w="19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771DA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$unsigned(...) / $signed(...) / 类型显式转换 / int'(...)</w:t>
            </w:r>
          </w:p>
        </w:tc>
        <w:tc>
          <w:tcPr>
            <w:tcW w:w="16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B52D3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需保持 signedness 和目标类型语义</w:t>
            </w:r>
          </w:p>
        </w:tc>
        <w:tc>
          <w:tcPr>
            <w:tcW w:w="56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550E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signed(abc) → $signed(abc)</w:t>
            </w:r>
          </w:p>
          <w:p w14:paraId="59E700E2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unsigned(abc) → $unsigned(abc)</w:t>
            </w:r>
          </w:p>
          <w:p w14:paraId="4288CF78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to_integer(unsigned(a)) → int'($unsigned(a))</w:t>
            </w:r>
          </w:p>
        </w:tc>
        <w:tc>
          <w:tcPr>
            <w:tcW w:w="165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93342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转换为int的前提是位宽受控；int位宽固定不等价于VHDL的integer的所有用法</w:t>
            </w:r>
          </w:p>
        </w:tc>
      </w:tr>
      <w:tr w14:paraId="06D40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7" w:hRule="atLeast"/>
          <w:jc w:val="center"/>
        </w:trPr>
        <w:tc>
          <w:tcPr>
            <w:tcW w:w="88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CA0B7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U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-00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w="130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21AD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数值构造函数</w:t>
            </w:r>
          </w:p>
        </w:tc>
        <w:tc>
          <w:tcPr>
            <w:tcW w:w="193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919BD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to_unsigned(...) / to_signed(...)</w:t>
            </w:r>
          </w:p>
        </w:tc>
        <w:tc>
          <w:tcPr>
            <w:tcW w:w="19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982FD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显式位宽类型转换</w:t>
            </w:r>
          </w:p>
        </w:tc>
        <w:tc>
          <w:tcPr>
            <w:tcW w:w="169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E9CF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目标位宽必须明确</w:t>
            </w:r>
            <w:r>
              <w:rPr>
                <w:rFonts w:hint="eastAsia" w:eastAsia="DejaVu Sans Mono" w:asciiTheme="majorAscii" w:hAnsiTheme="majorAscii"/>
                <w:b w:val="0"/>
                <w:sz w:val="18"/>
                <w:lang w:eastAsia="zh-CN"/>
              </w:rPr>
              <w:t>；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to_unsigned(...) 仅适用于源值非负的场景</w:t>
            </w:r>
          </w:p>
        </w:tc>
        <w:tc>
          <w:tcPr>
            <w:tcW w:w="5665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8A5B1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to_unsigned(i, 8) → logic [7:0]'(i)</w:t>
            </w:r>
          </w:p>
          <w:p w14:paraId="24BE61E2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(</w:t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前提：i &gt;= 0</w:t>
            </w:r>
            <w:r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  <w:t>)</w:t>
            </w:r>
          </w:p>
          <w:p w14:paraId="40A11E15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br w:type="textWrapping"/>
            </w: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to_signed(i, 8) → logic signed [7:0]'(i)</w:t>
            </w:r>
          </w:p>
        </w:tc>
        <w:tc>
          <w:tcPr>
            <w:tcW w:w="165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E6516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  <w:r>
              <w:rPr>
                <w:rFonts w:hint="default" w:eastAsia="DejaVu Sans Mono" w:asciiTheme="majorAscii" w:hAnsiTheme="majorAscii"/>
                <w:b w:val="0"/>
                <w:sz w:val="18"/>
              </w:rPr>
              <w:t>这一组本质是“把整数映射到定宽向量”；位宽信息不能丢</w:t>
            </w:r>
          </w:p>
        </w:tc>
      </w:tr>
    </w:tbl>
    <w:p w14:paraId="3B8F297B">
      <w:pPr>
        <w:spacing w:after="80"/>
        <w:jc w:val="both"/>
        <w:rPr>
          <w:rFonts w:hint="default" w:asciiTheme="majorAscii" w:hAnsiTheme="majorAscii"/>
        </w:rPr>
      </w:pPr>
    </w:p>
    <w:p w14:paraId="69F6C093">
      <w:pPr>
        <w:spacing w:after="80"/>
        <w:jc w:val="both"/>
        <w:rPr>
          <w:rFonts w:hint="default" w:asciiTheme="majorAscii" w:hAnsiTheme="majorAscii"/>
        </w:rPr>
      </w:pPr>
    </w:p>
    <w:p w14:paraId="6A9F724D">
      <w:pPr>
        <w:spacing w:after="80"/>
        <w:jc w:val="both"/>
        <w:rPr>
          <w:rFonts w:hint="default" w:asciiTheme="majorAscii" w:hAnsiTheme="majorAscii"/>
        </w:rPr>
      </w:pPr>
    </w:p>
    <w:p w14:paraId="18F73482">
      <w:pPr>
        <w:spacing w:after="80"/>
        <w:jc w:val="both"/>
        <w:rPr>
          <w:rFonts w:hint="default" w:asciiTheme="majorAscii" w:hAnsiTheme="majorAscii"/>
        </w:rPr>
      </w:pPr>
    </w:p>
    <w:p w14:paraId="0D2C8869">
      <w:pPr>
        <w:spacing w:after="80"/>
        <w:jc w:val="both"/>
        <w:rPr>
          <w:rFonts w:hint="default" w:asciiTheme="majorAscii" w:hAnsiTheme="majorAscii"/>
        </w:rPr>
      </w:pPr>
    </w:p>
    <w:p w14:paraId="10BF993A">
      <w:pPr>
        <w:spacing w:after="80"/>
        <w:jc w:val="both"/>
        <w:rPr>
          <w:rFonts w:hint="default" w:asciiTheme="majorAscii" w:hAnsiTheme="majorAscii"/>
        </w:rPr>
      </w:pPr>
    </w:p>
    <w:p w14:paraId="16B23C13">
      <w:pPr>
        <w:spacing w:after="80"/>
        <w:jc w:val="both"/>
        <w:rPr>
          <w:rFonts w:hint="default" w:asciiTheme="majorAscii" w:hAnsiTheme="majorAscii"/>
        </w:rPr>
      </w:pPr>
    </w:p>
    <w:p w14:paraId="1D2A9ADB">
      <w:pPr>
        <w:spacing w:after="80"/>
        <w:jc w:val="both"/>
        <w:rPr>
          <w:rFonts w:hint="default" w:asciiTheme="majorAscii" w:hAnsiTheme="majorAscii"/>
        </w:rPr>
      </w:pPr>
    </w:p>
    <w:p w14:paraId="400E09B0">
      <w:pPr>
        <w:spacing w:after="80"/>
        <w:jc w:val="both"/>
        <w:rPr>
          <w:rFonts w:hint="default" w:asciiTheme="majorAscii" w:hAnsiTheme="majorAscii"/>
        </w:rPr>
      </w:pPr>
    </w:p>
    <w:p w14:paraId="564247EC">
      <w:pPr>
        <w:spacing w:after="80"/>
        <w:jc w:val="both"/>
        <w:rPr>
          <w:rFonts w:hint="default" w:asciiTheme="majorAscii" w:hAnsiTheme="majorAscii"/>
        </w:rPr>
      </w:pPr>
    </w:p>
    <w:p w14:paraId="6EC3EB9C">
      <w:pPr>
        <w:spacing w:after="80"/>
        <w:jc w:val="both"/>
        <w:rPr>
          <w:rFonts w:hint="default" w:asciiTheme="majorAscii" w:hAnsiTheme="majorAscii"/>
        </w:rPr>
      </w:pPr>
    </w:p>
    <w:p w14:paraId="59F5A91B">
      <w:pPr>
        <w:spacing w:after="80"/>
        <w:jc w:val="both"/>
        <w:rPr>
          <w:rFonts w:hint="default" w:asciiTheme="majorAscii" w:hAnsiTheme="majorAscii"/>
        </w:rPr>
      </w:pPr>
    </w:p>
    <w:p w14:paraId="1A8CC5BF">
      <w:pPr>
        <w:spacing w:after="80"/>
        <w:jc w:val="both"/>
        <w:rPr>
          <w:rFonts w:hint="default" w:eastAsia="宋体" w:asciiTheme="majorAscii" w:hAnsiTheme="majorAscii"/>
          <w:lang w:val="en-US" w:eastAsia="zh-CN"/>
        </w:rPr>
      </w:pPr>
      <w:r>
        <w:rPr>
          <w:rFonts w:hint="eastAsia" w:eastAsia="宋体" w:asciiTheme="majorAscii" w:hAnsiTheme="majorAscii"/>
          <w:lang w:val="en-US" w:eastAsia="zh-CN"/>
        </w:rPr>
        <w:t xml:space="preserve">  </w:t>
      </w:r>
    </w:p>
    <w:p w14:paraId="192AA0E3">
      <w:pPr>
        <w:numPr>
          <w:ilvl w:val="0"/>
          <w:numId w:val="7"/>
        </w:numPr>
        <w:spacing w:before="200" w:after="120"/>
        <w:jc w:val="both"/>
        <w:rPr>
          <w:rFonts w:hint="default" w:eastAsia="宋体" w:asciiTheme="majorAscii" w:hAnsiTheme="majorAscii"/>
          <w:b/>
          <w:color w:val="1F4E79"/>
          <w:sz w:val="30"/>
          <w:lang w:val="en-US" w:eastAsia="zh-CN"/>
        </w:rPr>
      </w:pPr>
      <w:r>
        <w:rPr>
          <w:rFonts w:hint="eastAsia" w:eastAsia="宋体" w:asciiTheme="majorAscii" w:hAnsiTheme="majorAscii"/>
          <w:b/>
          <w:color w:val="1F4E79"/>
          <w:sz w:val="30"/>
          <w:lang w:val="en-US" w:eastAsia="zh-CN"/>
        </w:rPr>
        <w:t>VHDL无法直接转化的特殊情况</w:t>
      </w:r>
    </w:p>
    <w:tbl>
      <w:tblPr>
        <w:tblStyle w:val="35"/>
        <w:tblW w:w="156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750"/>
        <w:gridCol w:w="2060"/>
        <w:gridCol w:w="1440"/>
        <w:gridCol w:w="6838"/>
        <w:gridCol w:w="2149"/>
      </w:tblGrid>
      <w:tr w14:paraId="36EF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154FE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ID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/</w:t>
            </w: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类型</w:t>
            </w:r>
          </w:p>
        </w:tc>
        <w:tc>
          <w:tcPr>
            <w:tcW w:w="17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56CE5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VHDL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问题</w:t>
            </w:r>
          </w:p>
        </w:tc>
        <w:tc>
          <w:tcPr>
            <w:tcW w:w="206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9D9B7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SV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方案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EF47C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条件</w:t>
            </w:r>
          </w:p>
        </w:tc>
        <w:tc>
          <w:tcPr>
            <w:tcW w:w="683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312A3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代码</w:t>
            </w: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示例</w:t>
            </w:r>
          </w:p>
        </w:tc>
        <w:tc>
          <w:tcPr>
            <w:tcW w:w="214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750BB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说明</w:t>
            </w:r>
          </w:p>
        </w:tc>
      </w:tr>
      <w:tr w14:paraId="5F04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9" w:hRule="atLeast"/>
          <w:jc w:val="center"/>
        </w:trPr>
        <w:tc>
          <w:tcPr>
            <w:tcW w:w="1395" w:type="dxa"/>
            <w:vMerge w:val="restart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EA1AF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H-</w:t>
            </w:r>
            <w:r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001</w:t>
            </w:r>
          </w:p>
          <w:p w14:paraId="0C7C4ADC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Function动态位宽</w:t>
            </w:r>
          </w:p>
        </w:tc>
        <w:tc>
          <w:tcPr>
            <w:tcW w:w="1750" w:type="dxa"/>
            <w:vMerge w:val="restart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2537C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VHDL中function输入输出位宽动态/输入包含变量/信号</w:t>
            </w: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35AB4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B56AE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CBFB4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drawing>
                <wp:inline distT="0" distB="0" distL="114300" distR="114300">
                  <wp:extent cx="4262755" cy="2517775"/>
                  <wp:effectExtent l="0" t="0" r="4445" b="158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755" cy="251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EC988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VHDL源码</w:t>
            </w:r>
          </w:p>
        </w:tc>
      </w:tr>
      <w:tr w14:paraId="3D70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65630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054EC">
            <w:pPr>
              <w:spacing w:before="0" w:after="0" w:line="264" w:lineRule="auto"/>
              <w:jc w:val="both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002F3">
            <w:pPr>
              <w:spacing w:before="0" w:after="0" w:line="264" w:lineRule="auto"/>
              <w:jc w:val="both"/>
              <w:rPr>
                <w:rFonts w:hint="eastAsia" w:eastAsia="宋体" w:asciiTheme="majorAscii" w:hAnsiTheme="majorAscii" w:cstheme="minorBidi"/>
                <w:b w:val="0"/>
                <w:sz w:val="28"/>
                <w:szCs w:val="40"/>
                <w:lang w:val="en-US" w:eastAsia="zh-CN" w:bidi="ar-SA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使用virtual class+static function automatic实现在调用时动态改写位宽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21A5F">
            <w:pPr>
              <w:spacing w:before="0" w:after="0" w:line="264" w:lineRule="auto"/>
              <w:jc w:val="both"/>
              <w:rPr>
                <w:rFonts w:hint="eastAsia" w:eastAsia="宋体" w:asciiTheme="majorAscii" w:hAnsiTheme="majorAscii" w:cstheme="minorBidi"/>
                <w:b w:val="0"/>
                <w:sz w:val="28"/>
                <w:szCs w:val="40"/>
                <w:lang w:val="en-US" w:eastAsia="zh-CN" w:bidi="ar-SA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需要明确工具是否支持综合</w:t>
            </w: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3B3B1">
            <w:pPr>
              <w:spacing w:before="0" w:after="0" w:line="264" w:lineRule="auto"/>
              <w:jc w:val="both"/>
              <w:rPr>
                <w:rFonts w:hint="eastAsia" w:eastAsia="宋体" w:asciiTheme="majorAscii" w:hAnsiTheme="majorAscii" w:cstheme="minorBidi"/>
                <w:b w:val="0"/>
                <w:sz w:val="28"/>
                <w:szCs w:val="40"/>
                <w:lang w:val="en-US" w:eastAsia="zh-CN" w:bidi="ar-SA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drawing>
                <wp:inline distT="0" distB="0" distL="114300" distR="114300">
                  <wp:extent cx="4200525" cy="3600450"/>
                  <wp:effectExtent l="0" t="0" r="952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120AD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优点:参数共享方便；作用域广；语义类似VHDL；无需例化连线</w:t>
            </w:r>
          </w:p>
          <w:p w14:paraId="78F44741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缺点：需明确工具是否支持综合</w:t>
            </w:r>
          </w:p>
          <w:p w14:paraId="67F3E194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  <w:p w14:paraId="26BA4C87">
            <w:pPr>
              <w:spacing w:before="0" w:after="0" w:line="264" w:lineRule="auto"/>
              <w:jc w:val="both"/>
              <w:rPr>
                <w:rFonts w:hint="eastAsia" w:eastAsia="宋体" w:asciiTheme="majorAscii" w:hAnsiTheme="majorAscii" w:cstheme="minorBidi"/>
                <w:b w:val="0"/>
                <w:sz w:val="28"/>
                <w:szCs w:val="40"/>
                <w:lang w:val="en-US" w:eastAsia="zh-CN" w:bidi="ar-SA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Efinity支持该语法</w:t>
            </w:r>
          </w:p>
        </w:tc>
      </w:tr>
      <w:tr w14:paraId="22E8C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A3126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60654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6D749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把function改写在module中实现，使用parameter改动位宽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6F017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function 仅在某个模块内部使用，或一组 function 共享同一组格式参数的场景</w:t>
            </w: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A7CB6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drawing>
                <wp:inline distT="0" distB="0" distL="114300" distR="114300">
                  <wp:extent cx="4199890" cy="2870835"/>
                  <wp:effectExtent l="0" t="0" r="10160" b="571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890" cy="287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44156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优点：参数集中管理；function不需要重写</w:t>
            </w:r>
          </w:p>
          <w:p w14:paraId="73D14073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缺点：作用域收缩为module内部；复用需要重写端口；外部function无法调用module内部function</w:t>
            </w:r>
          </w:p>
        </w:tc>
      </w:tr>
      <w:tr w14:paraId="06E1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E05D1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18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06C4C">
            <w:pPr>
              <w:spacing w:before="0" w:after="0" w:line="264" w:lineRule="auto"/>
              <w:jc w:val="center"/>
              <w:rPr>
                <w:rFonts w:hint="default" w:eastAsia="DejaVu Sans Mono" w:asciiTheme="majorAscii" w:hAnsiTheme="majorAscii"/>
                <w:b w:val="0"/>
                <w:sz w:val="18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4964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在package中重写多套function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D8FEE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 function属于公共函数，工程中调用少且固定位宽</w:t>
            </w: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0E716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drawing>
                <wp:inline distT="0" distB="0" distL="114300" distR="114300">
                  <wp:extent cx="4198620" cy="3129280"/>
                  <wp:effectExtent l="0" t="0" r="11430" b="1397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312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1200A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优点：作用域清晰，适合复用；</w:t>
            </w:r>
          </w:p>
          <w:p w14:paraId="236530FF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缺点：工作量大</w:t>
            </w:r>
          </w:p>
        </w:tc>
      </w:tr>
      <w:tr w14:paraId="7AC5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B1DA8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备注</w:t>
            </w:r>
          </w:p>
        </w:tc>
        <w:tc>
          <w:tcPr>
            <w:tcW w:w="14237" w:type="dxa"/>
            <w:gridSpan w:val="5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D5D61">
            <w:pPr>
              <w:spacing w:before="0" w:after="0" w:line="264" w:lineRule="auto"/>
              <w:jc w:val="left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VHDL：function中的constant编译期计算结果；signal运行时综合为电路</w:t>
            </w:r>
          </w:p>
          <w:p w14:paraId="1EAEAA8F">
            <w:pPr>
              <w:spacing w:before="0" w:after="0" w:line="264" w:lineRule="auto"/>
              <w:jc w:val="left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SV：function的调用：编译期计算/运行期综合电路；取决于function的输入</w:t>
            </w:r>
          </w:p>
        </w:tc>
      </w:tr>
      <w:tr w14:paraId="192E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FD826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ID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/</w:t>
            </w: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类型</w:t>
            </w:r>
          </w:p>
        </w:tc>
        <w:tc>
          <w:tcPr>
            <w:tcW w:w="17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7565F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VHDL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问题</w:t>
            </w:r>
          </w:p>
        </w:tc>
        <w:tc>
          <w:tcPr>
            <w:tcW w:w="206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4D2BD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SV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方案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0347E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条件</w:t>
            </w:r>
          </w:p>
        </w:tc>
        <w:tc>
          <w:tcPr>
            <w:tcW w:w="683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0DD37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代码</w:t>
            </w: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示例</w:t>
            </w:r>
          </w:p>
        </w:tc>
        <w:tc>
          <w:tcPr>
            <w:tcW w:w="214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46E03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说明</w:t>
            </w:r>
          </w:p>
        </w:tc>
      </w:tr>
      <w:tr w14:paraId="41C0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9" w:hRule="atLeast"/>
          <w:jc w:val="center"/>
        </w:trPr>
        <w:tc>
          <w:tcPr>
            <w:tcW w:w="1395" w:type="dxa"/>
            <w:vMerge w:val="restart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5CF62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H-</w:t>
            </w:r>
            <w:r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00</w:t>
            </w: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2</w:t>
            </w:r>
          </w:p>
        </w:tc>
        <w:tc>
          <w:tcPr>
            <w:tcW w:w="1750" w:type="dxa"/>
            <w:vMerge w:val="restart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B7E18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VHDL中resize/ext/sxt的使用</w:t>
            </w: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16C2F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5273E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B53C1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3933825" cy="809625"/>
                  <wp:effectExtent l="0" t="0" r="9525" b="9525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924CA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1581150" cy="247650"/>
                  <wp:effectExtent l="0" t="0" r="0" b="0"/>
                  <wp:docPr id="2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EB908">
            <w:pPr>
              <w:spacing w:before="0" w:after="0" w:line="264" w:lineRule="auto"/>
              <w:jc w:val="both"/>
            </w:pPr>
          </w:p>
          <w:p w14:paraId="0DF1A2A2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3448050" cy="866775"/>
                  <wp:effectExtent l="0" t="0" r="0" b="9525"/>
                  <wp:docPr id="2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FD073">
            <w:pPr>
              <w:spacing w:before="0" w:after="0" w:line="264" w:lineRule="auto"/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1495425" cy="266700"/>
                  <wp:effectExtent l="0" t="0" r="9525" b="0"/>
                  <wp:docPr id="2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F9D4A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使用resize进行有符号或者无符号的位宽扩展</w:t>
            </w:r>
          </w:p>
          <w:p w14:paraId="498336B9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使用ext进行无符号扩展</w:t>
            </w:r>
          </w:p>
          <w:p w14:paraId="479040CD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使用sxt进行有符号扩展</w:t>
            </w:r>
          </w:p>
          <w:p w14:paraId="11AD3A07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VHDL源码</w:t>
            </w:r>
          </w:p>
        </w:tc>
      </w:tr>
      <w:tr w14:paraId="598D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6" w:hRule="atLeast"/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EE418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FE199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7AF45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无符号填充0/有符号填充符号位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A9577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无</w:t>
            </w: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97580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2362200" cy="847725"/>
                  <wp:effectExtent l="0" t="0" r="0" b="9525"/>
                  <wp:docPr id="2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94890" cy="878840"/>
                  <wp:effectExtent l="0" t="0" r="0" b="0"/>
                  <wp:docPr id="2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r="30766" b="2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890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87830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优点：语义清晰，代码易读</w:t>
            </w:r>
          </w:p>
          <w:p w14:paraId="6A2ED714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缺点：需要计算扩展位宽</w:t>
            </w:r>
          </w:p>
        </w:tc>
      </w:tr>
      <w:tr w14:paraId="68A8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6" w:hRule="atLeast"/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8A2E3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774ED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01FF2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使用系统函数$signed/$unsigned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A34CD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无</w:t>
            </w: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093C4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3667125" cy="1276350"/>
                  <wp:effectExtent l="0" t="0" r="9525" b="0"/>
                  <wp:docPr id="2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5A8EF">
            <w:pPr>
              <w:spacing w:before="0" w:after="0" w:line="264" w:lineRule="auto"/>
              <w:jc w:val="both"/>
            </w:pPr>
          </w:p>
          <w:p w14:paraId="5BCCEBB5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3543300" cy="1171575"/>
                  <wp:effectExtent l="0" t="0" r="0" b="9525"/>
                  <wp:docPr id="2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DE01C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右值按有无符号解释</w:t>
            </w:r>
          </w:p>
          <w:p w14:paraId="130CE33D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优点：代码简洁</w:t>
            </w:r>
          </w:p>
          <w:p w14:paraId="6730B08F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缺点：可读性不如位拼接直观</w:t>
            </w:r>
          </w:p>
        </w:tc>
      </w:tr>
      <w:tr w14:paraId="31A2D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1395" w:type="dxa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07298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备注</w:t>
            </w:r>
          </w:p>
        </w:tc>
        <w:tc>
          <w:tcPr>
            <w:tcW w:w="14237" w:type="dxa"/>
            <w:gridSpan w:val="5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B464E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推荐使用直接补零或符号位的写法</w:t>
            </w:r>
          </w:p>
        </w:tc>
      </w:tr>
      <w:tr w14:paraId="24E02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A866B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ID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/</w:t>
            </w: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类型</w:t>
            </w:r>
          </w:p>
        </w:tc>
        <w:tc>
          <w:tcPr>
            <w:tcW w:w="17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F447F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VHDL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问题</w:t>
            </w:r>
          </w:p>
        </w:tc>
        <w:tc>
          <w:tcPr>
            <w:tcW w:w="206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DEF20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SV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方案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12D33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条件</w:t>
            </w:r>
          </w:p>
        </w:tc>
        <w:tc>
          <w:tcPr>
            <w:tcW w:w="683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02B84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代码</w:t>
            </w: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示例</w:t>
            </w:r>
          </w:p>
        </w:tc>
        <w:tc>
          <w:tcPr>
            <w:tcW w:w="214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C0EF5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说明</w:t>
            </w:r>
          </w:p>
        </w:tc>
      </w:tr>
      <w:tr w14:paraId="7037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0" w:hRule="atLeast"/>
          <w:jc w:val="center"/>
        </w:trPr>
        <w:tc>
          <w:tcPr>
            <w:tcW w:w="1395" w:type="dxa"/>
            <w:vMerge w:val="restart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D04AD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H-</w:t>
            </w:r>
            <w:r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00</w:t>
            </w: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4E0E2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VHDL中range未约束数组类型</w:t>
            </w: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B3F03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CBBC9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2600F">
            <w:pPr>
              <w:spacing w:before="0" w:after="0" w:line="264" w:lineRule="auto"/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197985" cy="1114425"/>
                  <wp:effectExtent l="0" t="0" r="12065" b="9525"/>
                  <wp:docPr id="3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98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20C41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VHDL源码</w:t>
            </w:r>
          </w:p>
        </w:tc>
      </w:tr>
      <w:tr w14:paraId="02BE3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9" w:hRule="atLeast"/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B1CE0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03D10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81630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保留类别名称，和VHDL同样的语义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2DFC2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保持原类型</w:t>
            </w: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D9943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3028950" cy="704850"/>
                  <wp:effectExtent l="0" t="0" r="0" b="0"/>
                  <wp:docPr id="3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69686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同样设置自定义类别</w:t>
            </w:r>
          </w:p>
        </w:tc>
      </w:tr>
      <w:tr w14:paraId="6CE1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F51F0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27417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9D9A1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约束数组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96FDF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范围已知</w:t>
            </w: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88F4E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3028950" cy="371475"/>
                  <wp:effectExtent l="0" t="0" r="0" b="9525"/>
                  <wp:docPr id="3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27D92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最接近 VHDL 语义</w:t>
            </w:r>
          </w:p>
        </w:tc>
      </w:tr>
      <w:tr w14:paraId="0C716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95" w:type="dxa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5E5CA">
            <w:pPr>
              <w:spacing w:before="0" w:after="0" w:line="264" w:lineRule="auto"/>
              <w:jc w:val="center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备注</w:t>
            </w:r>
          </w:p>
        </w:tc>
        <w:tc>
          <w:tcPr>
            <w:tcW w:w="14237" w:type="dxa"/>
            <w:gridSpan w:val="5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23654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如果VHDL定义type SV也应对应定义typedef</w:t>
            </w:r>
          </w:p>
        </w:tc>
      </w:tr>
      <w:tr w14:paraId="3FDC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4037C">
            <w:pPr>
              <w:spacing w:before="0" w:after="0" w:line="264" w:lineRule="auto"/>
              <w:jc w:val="center"/>
              <w:rPr>
                <w:rFonts w:hint="default" w:asciiTheme="majorAscii" w:hAnsiTheme="majorAscii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ID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/</w:t>
            </w: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类型</w:t>
            </w:r>
          </w:p>
        </w:tc>
        <w:tc>
          <w:tcPr>
            <w:tcW w:w="17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2ECF9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VHDL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问题</w:t>
            </w:r>
          </w:p>
        </w:tc>
        <w:tc>
          <w:tcPr>
            <w:tcW w:w="206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71C0D">
            <w:pPr>
              <w:spacing w:before="0" w:after="0" w:line="264" w:lineRule="auto"/>
              <w:jc w:val="center"/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SV</w:t>
            </w: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方案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33BB0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条件</w:t>
            </w:r>
          </w:p>
        </w:tc>
        <w:tc>
          <w:tcPr>
            <w:tcW w:w="683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6C131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eastAsia" w:eastAsia="宋体" w:asciiTheme="majorAscii" w:hAnsiTheme="majorAscii"/>
                <w:b/>
                <w:color w:val="FFFFFF"/>
                <w:sz w:val="24"/>
                <w:szCs w:val="36"/>
                <w:lang w:val="en-US" w:eastAsia="zh-CN"/>
              </w:rPr>
              <w:t>代码</w:t>
            </w: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示例</w:t>
            </w:r>
          </w:p>
        </w:tc>
        <w:tc>
          <w:tcPr>
            <w:tcW w:w="214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5B06A">
            <w:pPr>
              <w:spacing w:before="0" w:after="0" w:line="264" w:lineRule="auto"/>
              <w:jc w:val="center"/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</w:pPr>
            <w:r>
              <w:rPr>
                <w:rFonts w:hint="default" w:eastAsia="Noto Sans CJK SC" w:asciiTheme="majorAscii" w:hAnsiTheme="majorAscii"/>
                <w:b/>
                <w:color w:val="FFFFFF"/>
                <w:sz w:val="24"/>
                <w:szCs w:val="36"/>
              </w:rPr>
              <w:t>说明</w:t>
            </w:r>
          </w:p>
        </w:tc>
      </w:tr>
      <w:tr w14:paraId="442C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9" w:hRule="atLeast"/>
          <w:jc w:val="center"/>
        </w:trPr>
        <w:tc>
          <w:tcPr>
            <w:tcW w:w="1395" w:type="dxa"/>
            <w:vMerge w:val="restart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3E581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H-</w:t>
            </w:r>
            <w:r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00</w:t>
            </w: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4</w:t>
            </w:r>
          </w:p>
        </w:tc>
        <w:tc>
          <w:tcPr>
            <w:tcW w:w="1750" w:type="dxa"/>
            <w:vMerge w:val="restart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AC571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VHDL中'length、'range、'left、</w:t>
            </w:r>
          </w:p>
          <w:p w14:paraId="5F2D2B0C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'right</w:t>
            </w:r>
          </w:p>
          <w:p w14:paraId="16A788B7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的使用</w:t>
            </w: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E0DBF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A1FDB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E96F9">
            <w:pPr>
              <w:spacing w:before="0" w:after="0" w:line="264" w:lineRule="auto"/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589020" cy="1398270"/>
                  <wp:effectExtent l="0" t="0" r="11430" b="11430"/>
                  <wp:docPr id="36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020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3640E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VHDL源码</w:t>
            </w:r>
          </w:p>
        </w:tc>
      </w:tr>
      <w:tr w14:paraId="14EC3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2" w:hRule="atLeast"/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945C8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3B4B9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EFDF8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使用系统函数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4D31E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black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语义与VHDL最为接近</w:t>
            </w: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7DB3B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4127500" cy="2409825"/>
                  <wp:effectExtent l="0" t="0" r="6350" b="9525"/>
                  <wp:docPr id="37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9F68B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4093845" cy="1485900"/>
                  <wp:effectExtent l="0" t="0" r="1905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84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CD35C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优点：语义相似</w:t>
            </w:r>
          </w:p>
          <w:p w14:paraId="4F0029E3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缺点：取值不直观</w:t>
            </w:r>
          </w:p>
        </w:tc>
      </w:tr>
      <w:tr w14:paraId="1F62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2" w:hRule="atLeast"/>
          <w:jc w:val="center"/>
        </w:trPr>
        <w:tc>
          <w:tcPr>
            <w:tcW w:w="1395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93A33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1750" w:type="dxa"/>
            <w:vMerge w:val="continue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EFA98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</w:p>
        </w:tc>
        <w:tc>
          <w:tcPr>
            <w:tcW w:w="206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38E67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  <w:t>重新设置位宽</w:t>
            </w:r>
          </w:p>
        </w:tc>
        <w:tc>
          <w:tcPr>
            <w:tcW w:w="1440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7F3BC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highlight w:val="none"/>
                <w:lang w:val="en-US" w:eastAsia="zh-CN"/>
              </w:rPr>
            </w:pPr>
          </w:p>
        </w:tc>
        <w:tc>
          <w:tcPr>
            <w:tcW w:w="6838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ACBD6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4023995" cy="2200275"/>
                  <wp:effectExtent l="0" t="0" r="14605" b="9525"/>
                  <wp:docPr id="3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99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3CC4B">
            <w:pPr>
              <w:spacing w:before="0" w:after="0" w:line="264" w:lineRule="auto"/>
              <w:jc w:val="both"/>
            </w:pPr>
          </w:p>
          <w:p w14:paraId="27E883A4">
            <w:pPr>
              <w:spacing w:before="0" w:after="0" w:line="264" w:lineRule="auto"/>
              <w:jc w:val="both"/>
            </w:pPr>
            <w:r>
              <w:drawing>
                <wp:inline distT="0" distB="0" distL="114300" distR="114300">
                  <wp:extent cx="4074795" cy="1495425"/>
                  <wp:effectExtent l="0" t="0" r="1905" b="952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79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0F75CC">
            <w:pPr>
              <w:spacing w:before="0" w:after="0" w:line="264" w:lineRule="auto"/>
              <w:jc w:val="both"/>
            </w:pPr>
          </w:p>
          <w:p w14:paraId="5025F38F">
            <w:pPr>
              <w:spacing w:before="0" w:after="0" w:line="264" w:lineRule="auto"/>
              <w:jc w:val="both"/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4050030" cy="1647825"/>
                  <wp:effectExtent l="0" t="0" r="7620" b="952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03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9" w:type="dxa"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AF54E">
            <w:pPr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优点：代码直观，明确</w:t>
            </w:r>
          </w:p>
          <w:p w14:paraId="19BC33C0">
            <w:pPr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缺点：需要重新确认VHDL中的位宽和方向</w:t>
            </w:r>
          </w:p>
        </w:tc>
      </w:tr>
      <w:tr w14:paraId="1F30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395" w:type="dxa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62FC7">
            <w:pPr>
              <w:tabs>
                <w:tab w:val="left" w:pos="2859"/>
              </w:tabs>
              <w:spacing w:before="0" w:after="0" w:line="264" w:lineRule="auto"/>
              <w:jc w:val="both"/>
              <w:rPr>
                <w:rFonts w:hint="default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备注</w:t>
            </w:r>
          </w:p>
        </w:tc>
        <w:tc>
          <w:tcPr>
            <w:tcW w:w="14237" w:type="dxa"/>
            <w:gridSpan w:val="5"/>
            <w:tcBorders/>
            <w:shd w:val="clear" w:color="auto" w:fill="F8FB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604E9">
            <w:pPr>
              <w:tabs>
                <w:tab w:val="left" w:pos="2859"/>
              </w:tabs>
              <w:spacing w:before="0" w:after="0" w:line="264" w:lineRule="auto"/>
              <w:jc w:val="both"/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</w:pPr>
            <w:r>
              <w:rPr>
                <w:rFonts w:hint="eastAsia" w:eastAsia="宋体" w:asciiTheme="majorAscii" w:hAnsiTheme="majorAscii"/>
                <w:b w:val="0"/>
                <w:sz w:val="28"/>
                <w:szCs w:val="40"/>
                <w:lang w:val="en-US" w:eastAsia="zh-CN"/>
              </w:rPr>
              <w:t>在 RTL 转换中，若对象位宽和方向已知，推荐优先转换为显式 localparam 或固定索引。对于 downto 和 to 两种方向，必须区分 left/right 与 high/low 的含义。'length 和 'range 不能机械替换。对于 packed 类型，'length 通常对应 $bits或参数化；对于 unpacked array，'length 对应 $size 或参数 化。'range 通常不直接映射为一个 SV 函数，而是明确显式索引。</w:t>
            </w:r>
          </w:p>
        </w:tc>
      </w:tr>
    </w:tbl>
    <w:p w14:paraId="5BD45B94">
      <w:pPr>
        <w:spacing w:after="80"/>
        <w:jc w:val="both"/>
        <w:rPr>
          <w:rFonts w:hint="default" w:asciiTheme="majorAscii" w:hAnsiTheme="majorAscii"/>
        </w:rPr>
      </w:pPr>
      <w:bookmarkStart w:id="0" w:name="_GoBack"/>
      <w:bookmarkEnd w:id="0"/>
    </w:p>
    <w:sectPr>
      <w:pgSz w:w="16838" w:h="23811"/>
      <w:pgMar w:top="850" w:right="794" w:bottom="85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61276"/>
    <w:multiLevelType w:val="singleLevel"/>
    <w:tmpl w:val="82D61276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6409"/>
    <w:rsid w:val="00CB0664"/>
    <w:rsid w:val="00FC693F"/>
    <w:rsid w:val="01A203FD"/>
    <w:rsid w:val="028E4F47"/>
    <w:rsid w:val="044D551B"/>
    <w:rsid w:val="05453FE3"/>
    <w:rsid w:val="05CA50FD"/>
    <w:rsid w:val="0620235A"/>
    <w:rsid w:val="073C1416"/>
    <w:rsid w:val="08314CF2"/>
    <w:rsid w:val="0A3B59B5"/>
    <w:rsid w:val="0C741652"/>
    <w:rsid w:val="0C851169"/>
    <w:rsid w:val="0D29243C"/>
    <w:rsid w:val="0D442DD2"/>
    <w:rsid w:val="0DFC545B"/>
    <w:rsid w:val="0F7636E2"/>
    <w:rsid w:val="0FBA3E9D"/>
    <w:rsid w:val="0FF509EA"/>
    <w:rsid w:val="11847C41"/>
    <w:rsid w:val="11DE6807"/>
    <w:rsid w:val="12A32349"/>
    <w:rsid w:val="142474B9"/>
    <w:rsid w:val="14A87077"/>
    <w:rsid w:val="14F43330"/>
    <w:rsid w:val="15047A49"/>
    <w:rsid w:val="15730A6A"/>
    <w:rsid w:val="15BD5E17"/>
    <w:rsid w:val="16041350"/>
    <w:rsid w:val="167D7355"/>
    <w:rsid w:val="16A04A84"/>
    <w:rsid w:val="180513B0"/>
    <w:rsid w:val="191E4E1F"/>
    <w:rsid w:val="1A226249"/>
    <w:rsid w:val="1A27385F"/>
    <w:rsid w:val="1BD333C9"/>
    <w:rsid w:val="1C066F72"/>
    <w:rsid w:val="1C2E35CB"/>
    <w:rsid w:val="1C822F02"/>
    <w:rsid w:val="1DB775F0"/>
    <w:rsid w:val="1DF15A03"/>
    <w:rsid w:val="1E9516DF"/>
    <w:rsid w:val="21052421"/>
    <w:rsid w:val="21262AC3"/>
    <w:rsid w:val="242A0B1C"/>
    <w:rsid w:val="253A13A7"/>
    <w:rsid w:val="263E08AF"/>
    <w:rsid w:val="278A18D2"/>
    <w:rsid w:val="279273E9"/>
    <w:rsid w:val="298D2626"/>
    <w:rsid w:val="2A984D85"/>
    <w:rsid w:val="2C210A56"/>
    <w:rsid w:val="2CBB1644"/>
    <w:rsid w:val="2D26209C"/>
    <w:rsid w:val="2D5C161A"/>
    <w:rsid w:val="2DF126AA"/>
    <w:rsid w:val="2ED3764C"/>
    <w:rsid w:val="2F0858D0"/>
    <w:rsid w:val="31C0486E"/>
    <w:rsid w:val="33380434"/>
    <w:rsid w:val="33CA19D4"/>
    <w:rsid w:val="37B634DB"/>
    <w:rsid w:val="38A547BD"/>
    <w:rsid w:val="38F90665"/>
    <w:rsid w:val="3929719C"/>
    <w:rsid w:val="39A44781"/>
    <w:rsid w:val="39CE1AF2"/>
    <w:rsid w:val="3AED190D"/>
    <w:rsid w:val="3B4B164C"/>
    <w:rsid w:val="3CA3132A"/>
    <w:rsid w:val="3D5B369C"/>
    <w:rsid w:val="3DA768E2"/>
    <w:rsid w:val="4004001B"/>
    <w:rsid w:val="40DF0854"/>
    <w:rsid w:val="41AD3B1A"/>
    <w:rsid w:val="41F93C0D"/>
    <w:rsid w:val="42BA2C13"/>
    <w:rsid w:val="42FE0080"/>
    <w:rsid w:val="43BB6C43"/>
    <w:rsid w:val="43BB77BF"/>
    <w:rsid w:val="43C80D40"/>
    <w:rsid w:val="43FD725B"/>
    <w:rsid w:val="44131CDD"/>
    <w:rsid w:val="44DF1057"/>
    <w:rsid w:val="45B56E0F"/>
    <w:rsid w:val="4698326B"/>
    <w:rsid w:val="4714323A"/>
    <w:rsid w:val="492139EC"/>
    <w:rsid w:val="498B23A8"/>
    <w:rsid w:val="49CA37D2"/>
    <w:rsid w:val="4BC00705"/>
    <w:rsid w:val="4CAE1A3B"/>
    <w:rsid w:val="4D1A2C2C"/>
    <w:rsid w:val="4D1C1E24"/>
    <w:rsid w:val="4D901140"/>
    <w:rsid w:val="51A85D8F"/>
    <w:rsid w:val="51B62521"/>
    <w:rsid w:val="521173C7"/>
    <w:rsid w:val="52263E21"/>
    <w:rsid w:val="52322899"/>
    <w:rsid w:val="52C553E8"/>
    <w:rsid w:val="53807561"/>
    <w:rsid w:val="5386726D"/>
    <w:rsid w:val="53E775E0"/>
    <w:rsid w:val="550F6DEF"/>
    <w:rsid w:val="55BC64D2"/>
    <w:rsid w:val="566B231E"/>
    <w:rsid w:val="5693436A"/>
    <w:rsid w:val="574B6F93"/>
    <w:rsid w:val="578953F3"/>
    <w:rsid w:val="57D83E10"/>
    <w:rsid w:val="587944A1"/>
    <w:rsid w:val="58810003"/>
    <w:rsid w:val="593B28A8"/>
    <w:rsid w:val="5B2D6220"/>
    <w:rsid w:val="5B3A3846"/>
    <w:rsid w:val="5CC86B0F"/>
    <w:rsid w:val="5CDD2DE8"/>
    <w:rsid w:val="5CFD6C28"/>
    <w:rsid w:val="5DC56B1E"/>
    <w:rsid w:val="618C4A6B"/>
    <w:rsid w:val="6283706E"/>
    <w:rsid w:val="63870498"/>
    <w:rsid w:val="64BF60D6"/>
    <w:rsid w:val="65554CF2"/>
    <w:rsid w:val="65962C14"/>
    <w:rsid w:val="66AA2E1B"/>
    <w:rsid w:val="6717678D"/>
    <w:rsid w:val="67B51A77"/>
    <w:rsid w:val="68DF2979"/>
    <w:rsid w:val="68E53CB2"/>
    <w:rsid w:val="693007D9"/>
    <w:rsid w:val="698A6F34"/>
    <w:rsid w:val="69A32AEA"/>
    <w:rsid w:val="6B451364"/>
    <w:rsid w:val="6C41648E"/>
    <w:rsid w:val="6CA43E69"/>
    <w:rsid w:val="6D2A7C81"/>
    <w:rsid w:val="6F457B85"/>
    <w:rsid w:val="6F9B1553"/>
    <w:rsid w:val="6FD15340"/>
    <w:rsid w:val="7027728A"/>
    <w:rsid w:val="71662034"/>
    <w:rsid w:val="71FB277D"/>
    <w:rsid w:val="72B90FA9"/>
    <w:rsid w:val="743C0E2B"/>
    <w:rsid w:val="74A1625A"/>
    <w:rsid w:val="781C344D"/>
    <w:rsid w:val="786971B0"/>
    <w:rsid w:val="788079EB"/>
    <w:rsid w:val="79DD6C0C"/>
    <w:rsid w:val="7A88301C"/>
    <w:rsid w:val="7D142945"/>
    <w:rsid w:val="7EA61CC2"/>
    <w:rsid w:val="7EBB576E"/>
    <w:rsid w:val="7FA73F44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6"/>
    <w:qFormat/>
    <w:uiPriority w:val="99"/>
  </w:style>
  <w:style w:type="character" w:customStyle="1" w:styleId="139">
    <w:name w:val="Footer Char"/>
    <w:basedOn w:val="134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20"/>
    <w:qFormat/>
    <w:uiPriority w:val="99"/>
  </w:style>
  <w:style w:type="character" w:customStyle="1" w:styleId="148">
    <w:name w:val="Body Text 2 Char"/>
    <w:basedOn w:val="134"/>
    <w:link w:val="29"/>
    <w:qFormat/>
    <w:uiPriority w:val="99"/>
  </w:style>
  <w:style w:type="character" w:customStyle="1" w:styleId="149">
    <w:name w:val="Body Text 3 Char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2466</Words>
  <Characters>5776</Characters>
  <Lines>0</Lines>
  <Paragraphs>0</Paragraphs>
  <TotalTime>0</TotalTime>
  <ScaleCrop>false</ScaleCrop>
  <LinksUpToDate>false</LinksUpToDate>
  <CharactersWithSpaces>6619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华山飞毛腿</cp:lastModifiedBy>
  <dcterms:modified xsi:type="dcterms:W3CDTF">2026-04-27T09:14:24Z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eyJoZGlkIjoiYjk5ODM0YmMxOWJiYWQyNDU4MGIzYWRmYTA0ZmI5NDciLCJ1c2VySWQiOiI4ODk4NDM3ODIifQ==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1E7E4E32CBE1430F8DA48E7B48A61F69_12</vt:lpwstr>
  </property>
</Properties>
</file>