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[Insert your course / programme]</w:t>
      </w:r>
    </w:p>
    <w:p>
      <w:r>
        <w:rPr>
          <w:b/>
        </w:rPr>
        <w:t xml:space="preserve">University ID: </w:t>
      </w:r>
      <w:r>
        <w:t>12701559</w:t>
      </w:r>
    </w:p>
    <w:p>
      <w:r>
        <w:rPr>
          <w:b/>
        </w:rPr>
        <w:t xml:space="preserve">Submission date: </w:t>
      </w:r>
      <w:r>
        <w:t>17th October 2026</w:t>
      </w:r>
    </w:p>
    <w:p>
      <w:r>
        <w:rPr>
          <w:b/>
        </w:rPr>
        <w:t xml:space="preserve">Word count: </w:t>
      </w:r>
      <w:r>
        <w:t>3,445 words (Tasks 1–4 body text)</w:t>
      </w:r>
    </w:p>
    <w:p>
      <w:r>
        <w:rPr>
          <w:b/>
        </w:rPr>
        <w:t xml:space="preserve">Counting rule: </w:t>
      </w:r>
      <w:r>
        <w:t>prose in the Task 1–4 narrative. Excluded: cover sheet, section headings, the figure and its caption, the reference list and Appendices A–C. Prose-only counting keeps the figure within the stated word budget.</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domain error,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 messages never echo the rejected value, since reflecting untrusted input is the mechanism behind injection defects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and </w:t>
      </w:r>
      <w:r>
        <w:rPr>
          <w:rFonts w:ascii="Consolas" w:hAnsi="Consolas"/>
          <w:sz w:val="19"/>
        </w:rPr>
        <w:t>ProviderConfig</w:t>
      </w:r>
      <w:r>
        <w:rPr>
          <w:b w:val="0"/>
          <w:i w:val="0"/>
        </w:rPr>
        <w:t xml:space="preserve"> refuses a hosted family with a non-</w:t>
      </w:r>
      <w:r>
        <w:rPr>
          <w:rFonts w:ascii="Consolas" w:hAnsi="Consolas"/>
          <w:sz w:val="19"/>
        </w:rPr>
        <w:t>https://</w:t>
      </w:r>
      <w:r>
        <w:rPr>
          <w:b w:val="0"/>
          <w:i w:val="0"/>
        </w:rPr>
        <w:t xml:space="preserve"> endpoint or </w:t>
      </w:r>
      <w:r>
        <w:rPr>
          <w:rFonts w:ascii="Consolas" w:hAnsi="Consolas"/>
          <w:sz w:val="19"/>
        </w:rPr>
        <w:t>redact_before_send</w:t>
      </w:r>
      <w:r>
        <w:rPr>
          <w:b w:val="0"/>
          <w:i w:val="0"/>
        </w:rPr>
        <w:t xml:space="preserve"> false. </w:t>
      </w:r>
      <w:r>
        <w:rPr>
          <w:b/>
          <w:i w:val="0"/>
        </w:rPr>
        <w:t>Untrusted replies:</w:t>
      </w:r>
      <w:r>
        <w:rPr>
          <w:b w:val="0"/>
          <w:i w:val="0"/>
        </w:rPr>
        <w:t xml:space="preserve"> </w:t>
      </w:r>
      <w:r>
        <w:rPr>
          <w:rFonts w:ascii="Consolas" w:hAnsi="Consolas"/>
          <w:sz w:val="19"/>
        </w:rPr>
        <w:t>ModelBackedScoringStrategy</w:t>
      </w:r>
      <w:r>
        <w:rPr>
          <w:b w:val="0"/>
          <w:i w:val="0"/>
        </w:rPr>
        <w:t xml:space="preserve"> rejects a non-mapping reply and a missing, boolean, non-numeric or out-of-range score, translating vendor exceptions into </w:t>
      </w:r>
      <w:r>
        <w:rPr>
          <w:rFonts w:ascii="Consolas" w:hAnsi="Consolas"/>
          <w:sz w:val="19"/>
        </w:rPr>
        <w:t>ProviderUnavailableError</w:t>
      </w:r>
      <w:r>
        <w:rPr>
          <w:b w:val="0"/>
          <w:i w:val="0"/>
        </w:rPr>
        <w:t>.</w:t>
      </w:r>
    </w:p>
    <w:p>
      <w:pPr>
        <w:pStyle w:val="Heading2"/>
      </w:pPr>
      <w:r>
        <w:rPr>
          <w:b w:val="0"/>
          <w:i w:val="0"/>
        </w:rPr>
        <w:t>1.2 Apply advanced object-oriented principles to complex problems</w:t>
      </w:r>
    </w:p>
    <w:p>
      <w:pPr>
        <w:spacing w:after="120"/>
      </w:pPr>
      <w:r>
        <w:rPr>
          <w:b w:val="0"/>
          <w:i w:val="0"/>
        </w:rPr>
        <w:t>Five concerns normally entangled in one scoring script are separated — feature derivation (</w:t>
      </w:r>
      <w:r>
        <w:rPr>
          <w:rFonts w:ascii="Consolas" w:hAnsi="Consolas"/>
          <w:sz w:val="19"/>
        </w:rPr>
        <w:t>feature_store.py</w:t>
      </w:r>
      <w:r>
        <w:rPr>
          <w:b w:val="0"/>
          <w:i w:val="0"/>
        </w:rPr>
        <w:t>), algorithm (</w:t>
      </w:r>
      <w:r>
        <w:rPr>
          <w:rFonts w:ascii="Consolas" w:hAnsi="Consolas"/>
          <w:sz w:val="19"/>
        </w:rPr>
        <w:t>strategies.py</w:t>
      </w:r>
      <w:r>
        <w:rPr>
          <w:b w:val="0"/>
          <w:i w:val="0"/>
        </w:rPr>
        <w:t>), cross-cutting policy (</w:t>
      </w:r>
      <w:r>
        <w:rPr>
          <w:rFonts w:ascii="Consolas" w:hAnsi="Consolas"/>
          <w:sz w:val="19"/>
        </w:rPr>
        <w:t>decorators.py</w:t>
      </w:r>
      <w:r>
        <w:rPr>
          <w:b w:val="0"/>
          <w:i w:val="0"/>
        </w:rPr>
        <w:t>), lifecycle (</w:t>
      </w:r>
      <w:r>
        <w:rPr>
          <w:rFonts w:ascii="Consolas" w:hAnsi="Consolas"/>
          <w:sz w:val="19"/>
        </w:rPr>
        <w:t>model_registry.py</w:t>
      </w:r>
      <w:r>
        <w:rPr>
          <w:b w:val="0"/>
          <w:i w:val="0"/>
        </w:rPr>
        <w:t>) and output format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the five-line </w:t>
      </w:r>
      <w:r>
        <w:rPr>
          <w:rFonts w:ascii="Consolas" w:hAnsi="Consolas"/>
          <w:sz w:val="19"/>
        </w:rPr>
        <w:t>ScoringBackend</w:t>
      </w:r>
      <w:r>
        <w:rPr>
          <w:b w:val="0"/>
          <w:i w:val="0"/>
        </w:rPr>
        <w:t xml:space="preserve"> protocol, and inversion of control constructor injection of transport, clock, context provider, backend and sink. Algorithm, provider, model version and report format are each replaceable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model-backed scoring swapped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assembly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whole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Every outside-world dependency passed in, making tests deterministic</w:t>
            </w:r>
          </w:p>
        </w:tc>
      </w:tr>
    </w:tbl>
    <w:p>
      <w:pPr>
        <w:spacing w:after="80"/>
      </w:pPr>
    </w:p>
    <w:p>
      <w:pPr>
        <w:spacing w:after="120"/>
      </w:pPr>
      <w:r>
        <w:rPr>
          <w:b w:val="0"/>
          <w:i w:val="0"/>
        </w:rPr>
        <w:t>Each pattern was chosen against a named alternative, and the rejected alternatives are part of the work.</w:t>
      </w:r>
    </w:p>
    <w:p>
      <w:pPr>
        <w:pStyle w:val="Heading2"/>
      </w:pPr>
      <w:r>
        <w:rPr>
          <w:b w:val="0"/>
          <w:i w:val="0"/>
        </w:rPr>
        <w:t>1.4 Design architectures suitable for large-scale systems, ensuring security and robustness</w:t>
      </w:r>
    </w:p>
    <w:p>
      <w:pPr>
        <w:spacing w:after="120"/>
      </w:pPr>
      <w:r>
        <w:rPr>
          <w:b w:val="0"/>
          <w:i w:val="0"/>
        </w:rPr>
        <w:t xml:space="preserve">Each layer scales along the axis that matters: feature computation is pure and therefore cacheable and parallelisable; caching is an inner decorator, so it can become distributed without touching governance; the registry centralises lifecycle state, so N scoring instances read one answer to which version is live. Robustness is demonstrated rather than asserted: a provider outage produces three transport attempts, an explicit </w:t>
      </w:r>
      <w:r>
        <w:rPr>
          <w:rFonts w:ascii="Consolas" w:hAnsi="Consolas"/>
          <w:sz w:val="19"/>
        </w:rPr>
        <w:t>[degraded: primary unavailable]</w:t>
      </w:r>
      <w:r>
        <w:rPr>
          <w:b w:val="0"/>
          <w:i w:val="0"/>
        </w:rPr>
        <w:t xml:space="preserve"> rationale and a substituted decision that still reaches the audit trail; a hostile payload </w:t>
      </w:r>
      <w:r>
        <w:rPr>
          <w:rFonts w:ascii="Consolas" w:hAnsi="Consolas"/>
          <w:sz w:val="19"/>
        </w:rPr>
        <w:t>{"confidence": 0.99, "verdict": "looks fine to me"}</w:t>
      </w:r>
      <w:r>
        <w:rPr>
          <w:b w:val="0"/>
          <w:i w:val="0"/>
        </w:rPr>
        <w:t xml:space="preserve"> is rejected;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not retrofitted.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replacing a hosted LLM with a local model or a fake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and </w:t>
      </w:r>
      <w:r>
        <w:rPr>
          <w:rFonts w:ascii="Consolas" w:hAnsi="Consolas"/>
          <w:sz w:val="19"/>
        </w:rPr>
        <w:t>FeatureDefinition</w:t>
      </w:r>
      <w:r>
        <w:rPr>
          <w:b w:val="0"/>
          <w:i w:val="0"/>
        </w:rPr>
        <w:t xml:space="preserve"> is named, versioned and owned, so training and serving reference the same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Learning objective</w:t>
            </w:r>
          </w:p>
        </w:tc>
        <w:tc>
          <w:tcPr>
            <w:tcW w:type="dxa" w:w="4513"/>
            <w:shd w:val="clear" w:fill="EFEFEF"/>
          </w:tcPr>
          <w:p>
            <w:pPr>
              <w:spacing w:after="40"/>
            </w:pPr>
            <w:r>
              <w:rPr>
                <w:sz w:val="19"/>
              </w:rPr>
            </w:r>
            <w:r>
              <w:rPr>
                <w:b/>
                <w:i w:val="0"/>
                <w:sz w:val="19"/>
              </w:rPr>
              <w:t>Practical work</w:t>
            </w:r>
          </w:p>
        </w:tc>
      </w:tr>
      <w:tr>
        <w:trPr>
          <w:cantSplit/>
        </w:trPr>
        <w:tc>
          <w:tcPr>
            <w:tcW w:type="dxa" w:w="4513"/>
          </w:tcPr>
          <w:p>
            <w:pPr>
              <w:spacing w:after="40"/>
            </w:pPr>
            <w:r>
              <w:rPr>
                <w:sz w:val="19"/>
              </w:rPr>
            </w:r>
            <w:r>
              <w:rPr>
                <w:b w:val="0"/>
                <w:i w:val="0"/>
                <w:sz w:val="19"/>
              </w:rPr>
              <w:t>Secure coding</w:t>
            </w:r>
          </w:p>
        </w:tc>
        <w:tc>
          <w:tcPr>
            <w:tcW w:type="dxa" w:w="4513"/>
          </w:tcPr>
          <w:p>
            <w:pPr>
              <w:spacing w:after="40"/>
            </w:pPr>
            <w:r>
              <w:rPr>
                <w:sz w:val="19"/>
              </w:rPr>
            </w:r>
            <w:r>
              <w:rPr>
                <w:rFonts w:ascii="Consolas" w:hAnsi="Consolas"/>
                <w:sz w:val="19"/>
              </w:rPr>
              <w:t>validation.py</w:t>
            </w:r>
            <w:r>
              <w:rPr>
                <w:b w:val="0"/>
                <w:i w:val="0"/>
                <w:sz w:val="19"/>
              </w:rPr>
              <w:t xml:space="preserve">, </w:t>
            </w:r>
            <w:r>
              <w:rPr>
                <w:rFonts w:ascii="Consolas" w:hAnsi="Consolas"/>
                <w:sz w:val="19"/>
              </w:rPr>
              <w:t>domain.py</w:t>
            </w:r>
            <w:r>
              <w:rPr>
                <w:b w:val="0"/>
                <w:i w:val="0"/>
                <w:sz w:val="19"/>
              </w:rPr>
              <w:t xml:space="preserve">, </w:t>
            </w:r>
            <w:r>
              <w:rPr>
                <w:rFonts w:ascii="Consolas" w:hAnsi="Consolas"/>
                <w:sz w:val="19"/>
              </w:rPr>
              <w:t>RedactingDecorator</w:t>
            </w:r>
            <w:r>
              <w:rPr>
                <w:b w:val="0"/>
                <w:i w:val="0"/>
                <w:sz w:val="19"/>
              </w:rPr>
              <w:t xml:space="preserve">, </w:t>
            </w:r>
            <w:r>
              <w:rPr>
                <w:rFonts w:ascii="Consolas" w:hAnsi="Consolas"/>
                <w:sz w:val="19"/>
              </w:rPr>
              <w:t>ProviderConfig</w:t>
            </w:r>
            <w:r>
              <w:rPr>
                <w:b w:val="0"/>
                <w:i w:val="0"/>
                <w:sz w:val="19"/>
              </w:rPr>
              <w:t>; run sections 5–6</w:t>
            </w:r>
          </w:p>
        </w:tc>
      </w:tr>
      <w:tr>
        <w:trPr>
          <w:cantSplit/>
        </w:trPr>
        <w:tc>
          <w:tcPr>
            <w:tcW w:type="dxa" w:w="4513"/>
          </w:tcPr>
          <w:p>
            <w:pPr>
              <w:spacing w:after="40"/>
            </w:pPr>
            <w:r>
              <w:rPr>
                <w:sz w:val="19"/>
              </w:rPr>
            </w:r>
            <w:r>
              <w:rPr>
                <w:b w:val="0"/>
                <w:i w:val="0"/>
                <w:sz w:val="19"/>
              </w:rPr>
              <w:t>Advanced OOP for complex problems</w:t>
            </w:r>
          </w:p>
        </w:tc>
        <w:tc>
          <w:tcPr>
            <w:tcW w:type="dxa" w:w="4513"/>
          </w:tcPr>
          <w:p>
            <w:pPr>
              <w:spacing w:after="40"/>
            </w:pPr>
            <w:r>
              <w:rPr>
                <w:sz w:val="19"/>
              </w:rPr>
            </w:r>
            <w:r>
              <w:rPr>
                <w:b w:val="0"/>
                <w:i w:val="0"/>
                <w:sz w:val="19"/>
              </w:rPr>
              <w:t>Frozen slotted value objects, ABCs, a runtime-checkable protocol, injected dependencies</w:t>
            </w:r>
          </w:p>
        </w:tc>
      </w:tr>
      <w:tr>
        <w:trPr>
          <w:cantSplit/>
        </w:trPr>
        <w:tc>
          <w:tcPr>
            <w:tcW w:type="dxa" w:w="4513"/>
          </w:tcPr>
          <w:p>
            <w:pPr>
              <w:spacing w:after="40"/>
            </w:pPr>
            <w:r>
              <w:rPr>
                <w:sz w:val="19"/>
              </w:rPr>
            </w:r>
            <w:r>
              <w:rPr>
                <w:b w:val="0"/>
                <w:i w:val="0"/>
                <w:sz w:val="19"/>
              </w:rPr>
              <w:t>Design patterns</w:t>
            </w:r>
          </w:p>
        </w:tc>
        <w:tc>
          <w:tcPr>
            <w:tcW w:type="dxa" w:w="4513"/>
          </w:tcPr>
          <w:p>
            <w:pPr>
              <w:spacing w:after="40"/>
            </w:pPr>
            <w:r>
              <w:rPr>
                <w:sz w:val="19"/>
              </w:rPr>
            </w:r>
            <w:r>
              <w:rPr>
                <w:b w:val="0"/>
                <w:i w:val="0"/>
                <w:sz w:val="19"/>
              </w:rPr>
              <w:t>All four classic patterns in one cohesive engine, each critiqued in Task 2</w:t>
            </w:r>
          </w:p>
        </w:tc>
      </w:tr>
      <w:tr>
        <w:trPr>
          <w:cantSplit/>
        </w:trPr>
        <w:tc>
          <w:tcPr>
            <w:tcW w:type="dxa" w:w="4513"/>
          </w:tcPr>
          <w:p>
            <w:pPr>
              <w:spacing w:after="40"/>
            </w:pPr>
            <w:r>
              <w:rPr>
                <w:sz w:val="19"/>
              </w:rPr>
            </w:r>
            <w:r>
              <w:rPr>
                <w:b w:val="0"/>
                <w:i w:val="0"/>
                <w:sz w:val="19"/>
              </w:rPr>
              <w:t>Large-scale architecture, robustness</w:t>
            </w:r>
          </w:p>
        </w:tc>
        <w:tc>
          <w:tcPr>
            <w:tcW w:type="dxa" w:w="4513"/>
          </w:tcPr>
          <w:p>
            <w:pPr>
              <w:spacing w:after="40"/>
            </w:pPr>
            <w:r>
              <w:rPr>
                <w:sz w:val="19"/>
              </w:rPr>
            </w:r>
            <w:r>
              <w:rPr>
                <w:rFonts w:ascii="Consolas" w:hAnsi="Consolas"/>
                <w:sz w:val="19"/>
              </w:rPr>
              <w:t>build_risk_service</w:t>
            </w:r>
            <w:r>
              <w:rPr>
                <w:b w:val="0"/>
                <w:i w:val="0"/>
                <w:sz w:val="19"/>
              </w:rPr>
              <w:t xml:space="preserve"> root, documented pipeline ordering, degradation in run section 6</w:t>
            </w:r>
          </w:p>
        </w:tc>
      </w:tr>
      <w:tr>
        <w:trPr>
          <w:cantSplit/>
        </w:trPr>
        <w:tc>
          <w:tcPr>
            <w:tcW w:type="dxa" w:w="4513"/>
          </w:tcPr>
          <w:p>
            <w:pPr>
              <w:spacing w:after="40"/>
            </w:pPr>
            <w:r>
              <w:rPr>
                <w:sz w:val="19"/>
              </w:rPr>
            </w:r>
            <w:r>
              <w:rPr>
                <w:b w:val="0"/>
                <w:i w:val="0"/>
                <w:sz w:val="19"/>
              </w:rPr>
              <w:t>AI adaptability</w:t>
            </w:r>
          </w:p>
        </w:tc>
        <w:tc>
          <w:tcPr>
            <w:tcW w:type="dxa" w:w="4513"/>
          </w:tcPr>
          <w:p>
            <w:pPr>
              <w:spacing w:after="40"/>
            </w:pPr>
            <w:r>
              <w:rPr>
                <w:sz w:val="19"/>
              </w:rPr>
            </w:r>
            <w:r>
              <w:rPr>
                <w:rFonts w:ascii="Consolas" w:hAnsi="Consolas"/>
                <w:sz w:val="19"/>
              </w:rPr>
              <w:t>model_registry.py</w:t>
            </w:r>
            <w:r>
              <w:rPr>
                <w:b w:val="0"/>
                <w:i w:val="0"/>
                <w:sz w:val="19"/>
              </w:rPr>
              <w:t xml:space="preserve">, </w:t>
            </w:r>
            <w:r>
              <w:rPr>
                <w:rFonts w:ascii="Consolas" w:hAnsi="Consolas"/>
                <w:sz w:val="19"/>
              </w:rPr>
              <w:t>feature_store.py</w:t>
            </w:r>
            <w:r>
              <w:rPr>
                <w:b w:val="0"/>
                <w:i w:val="0"/>
                <w:sz w:val="19"/>
              </w:rPr>
              <w:t>; run section 7 changes the live version with no code change</w:t>
            </w:r>
          </w:p>
        </w:tc>
      </w:tr>
    </w:tbl>
    <w:p>
      <w:pPr>
        <w:spacing w:after="80"/>
      </w:pPr>
    </w:p>
    <w:p>
      <w:pPr>
        <w:spacing w:after="120"/>
      </w:pPr>
      <w:r>
        <w:rPr>
          <w:b w:val="0"/>
          <w:i w:val="0"/>
        </w:rPr>
        <w:t xml:space="preserve">The Unit 6 artefact supplies the concurrency foundation the capstone reuses: </w:t>
      </w:r>
      <w:r>
        <w:rPr>
          <w:rFonts w:ascii="Consolas" w:hAnsi="Consolas"/>
          <w:sz w:val="19"/>
        </w:rPr>
        <w:t>FeatureStore</w:t>
      </w:r>
      <w:r>
        <w:rPr>
          <w:b w:val="0"/>
          <w:i w:val="0"/>
        </w:rPr>
        <w:t xml:space="preserve"> takes a re-entrant lock specifically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[INSERT YOUR GITHUB REPOSITORY URL])</w:t>
      </w:r>
    </w:p>
    <w:p>
      <w:pPr>
        <w:spacing w:after="120"/>
      </w:pPr>
      <w:r>
        <w:rPr>
          <w:b w:val="0"/>
          <w:i w:val="0"/>
        </w:rPr>
        <w:t xml:space="preserve">Repository: </w:t>
      </w:r>
      <w:r>
        <w:rPr>
          <w:rFonts w:ascii="Consolas" w:hAnsi="Consolas"/>
          <w:sz w:val="19"/>
        </w:rPr>
        <w:t>[INSERT YOUR GITHUB REPOSITORY URL]</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simulator driving concurrent transfers. </w:t>
      </w:r>
      <w:r>
        <w:rPr>
          <w:b/>
          <w:i w:val="0"/>
        </w:rPr>
        <w:t>Principles:</w:t>
      </w:r>
      <w:r>
        <w:rPr>
          <w:b w:val="0"/>
          <w:i w:val="0"/>
        </w:rPr>
        <w:t xml:space="preserve"> encapsulated state behind methods, custom exception types for domain failure, and a re-entrant lock so a guarded method calling another guarded method cannot deadlock. </w:t>
      </w:r>
      <w:r>
        <w:rPr>
          <w:b/>
          <w:i w:val="0"/>
        </w:rPr>
        <w:t>Challenge:</w:t>
      </w:r>
      <w:r>
        <w:rPr>
          <w:b w:val="0"/>
          <w:i w:val="0"/>
        </w:rPr>
        <w:t xml:space="preserve"> the simulator's first succeeded/failed figures did not reconcile with its screenshot, teaching me to reproduce evidence rather than remember it. Because concurrency correctness can only be demonstrated, every lock in the capstone carries a test that fails without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w:t>
      </w:r>
      <w:r>
        <w:rPr>
          <w:rFonts w:ascii="Consolas" w:hAnsi="Consolas"/>
          <w:sz w:val="19"/>
        </w:rPr>
        <w:t>RuleBasedScoringStrategy</w:t>
      </w:r>
      <w:r>
        <w:rPr>
          <w:b w:val="0"/>
          <w:i w:val="0"/>
        </w:rPr>
        <w:t xml:space="preserve"> (weighted rules), </w:t>
      </w:r>
      <w:r>
        <w:rPr>
          <w:rFonts w:ascii="Consolas" w:hAnsi="Consolas"/>
          <w:sz w:val="19"/>
        </w:rPr>
        <w:t>WeightedStatisticalStrategy</w:t>
      </w:r>
      <w:r>
        <w:rPr>
          <w:b w:val="0"/>
          <w:i w:val="0"/>
        </w:rPr>
        <w:t xml:space="preserve"> (logistic scoring) and </w:t>
      </w:r>
      <w:r>
        <w:rPr>
          <w:rFonts w:ascii="Consolas" w:hAnsi="Consolas"/>
          <w:sz w:val="19"/>
        </w:rPr>
        <w:t>ModelBackedScoringStrategy</w:t>
      </w:r>
      <w:r>
        <w:rPr>
          <w:b w:val="0"/>
          <w:i w:val="0"/>
        </w:rPr>
        <w:t xml:space="preserve"> (through </w:t>
      </w:r>
      <w:r>
        <w:rPr>
          <w:rFonts w:ascii="Consolas" w:hAnsi="Consolas"/>
          <w:sz w:val="19"/>
        </w:rPr>
        <w:t>ScoringBackend</w:t>
      </w:r>
      <w:r>
        <w:rPr>
          <w:b w:val="0"/>
          <w:i w:val="0"/>
        </w:rPr>
        <w:t xml:space="preserve">); </w:t>
      </w:r>
      <w:r>
        <w:rPr>
          <w:rFonts w:ascii="Consolas" w:hAnsi="Consolas"/>
          <w:sz w:val="19"/>
        </w:rPr>
        <w:t>DecisionPolicy</w:t>
      </w:r>
      <w:r>
        <w:rPr>
          <w:b w:val="0"/>
          <w:i w:val="0"/>
        </w:rPr>
        <w:t xml:space="preserve"> maps a normalised score onto </w:t>
      </w:r>
      <w:r>
        <w:rPr>
          <w:rFonts w:ascii="Consolas" w:hAnsi="Consolas"/>
          <w:sz w:val="19"/>
        </w:rPr>
        <w:t>ALLOW</w:t>
      </w:r>
      <w:r>
        <w:rPr>
          <w:b w:val="0"/>
          <w:i w:val="0"/>
        </w:rPr>
        <w:t>/</w:t>
      </w:r>
      <w:r>
        <w:rPr>
          <w:rFonts w:ascii="Consolas" w:hAnsi="Consolas"/>
          <w:sz w:val="19"/>
        </w:rPr>
        <w:t>REVIEW</w:t>
      </w:r>
      <w:r>
        <w:rPr>
          <w:b w:val="0"/>
          <w:i w:val="0"/>
        </w:rPr>
        <w:t>/</w:t>
      </w:r>
      <w:r>
        <w:rPr>
          <w:rFonts w:ascii="Consolas" w:hAnsi="Consolas"/>
          <w:sz w:val="19"/>
        </w:rPr>
        <w:t>BLOCK</w:t>
      </w:r>
      <w:r>
        <w:rPr>
          <w:b w:val="0"/>
          <w:i w:val="0"/>
        </w:rPr>
        <w:t xml:space="preserve"> at 0.45 and 0.80. Because a fraud engine must run an explainable rule set in one environment and a learned model in another,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Strategy forces every algorithm into </w:t>
      </w:r>
      <w:r>
        <w:rPr>
          <w:rFonts w:ascii="Consolas" w:hAnsi="Consolas"/>
          <w:sz w:val="19"/>
        </w:rPr>
        <w:t>(features) → StrategyOutput</w:t>
      </w:r>
      <w:r>
        <w:rPr>
          <w:b w:val="0"/>
          <w:i w:val="0"/>
        </w:rPr>
        <w:t xml:space="preserve">, so one rejecting a transaction outright must smuggle that through </w:t>
      </w:r>
      <w:r>
        <w:rPr>
          <w:rFonts w:ascii="Consolas" w:hAnsi="Consolas"/>
          <w:sz w:val="19"/>
        </w:rPr>
        <w:t>contributions</w:t>
      </w:r>
      <w:r>
        <w:rPr>
          <w:b w:val="0"/>
          <w:i w:val="0"/>
        </w:rPr>
        <w:t xml:space="preserve"> or break the interface — a narrower contract chosen deliberately, since a richer return type would push policy into the algorithms.</w:t>
      </w:r>
    </w:p>
    <w:p>
      <w:pPr>
        <w:pStyle w:val="Heading2"/>
      </w:pPr>
      <w:r>
        <w:rPr>
          <w:b w:val="0"/>
          <w:i w:val="0"/>
        </w:rPr>
        <w:t>2.3 Artefact C — Decorator: dynamic governance layers</w:t>
      </w:r>
    </w:p>
    <w:p>
      <w:pPr>
        <w:spacing w:after="120"/>
      </w:pPr>
      <w:r>
        <w:rPr>
          <w:rFonts w:ascii="Consolas" w:hAnsi="Consolas"/>
          <w:sz w:val="19"/>
        </w:rPr>
        <w:t>ScoringComponent</w:t>
      </w:r>
      <w:r>
        <w:rPr>
          <w:b w:val="0"/>
          <w:i w:val="0"/>
        </w:rPr>
        <w:t xml:space="preserve"> declares a </w:t>
      </w:r>
      <w:r>
        <w:rPr>
          <w:rFonts w:ascii="Consolas" w:hAnsi="Consolas"/>
          <w:sz w:val="19"/>
        </w:rPr>
        <w:t>name</w:t>
      </w:r>
      <w:r>
        <w:rPr>
          <w:b w:val="0"/>
          <w:i w:val="0"/>
        </w:rPr>
        <w:t xml:space="preserve"> property and a </w:t>
      </w:r>
      <w:r>
        <w:rPr>
          <w:rFonts w:ascii="Consolas" w:hAnsi="Consolas"/>
          <w:sz w:val="19"/>
        </w:rPr>
        <w:t>score</w:t>
      </w:r>
      <w:r>
        <w:rPr>
          <w:b w:val="0"/>
          <w:i w:val="0"/>
        </w:rPr>
        <w:t xml:space="preserve"> method and </w:t>
      </w:r>
      <w:r>
        <w:rPr>
          <w:rFonts w:ascii="Consolas" w:hAnsi="Consolas"/>
          <w:sz w:val="19"/>
        </w:rPr>
        <w:t>ScoringDecorator</w:t>
      </w:r>
      <w:r>
        <w:rPr>
          <w:b w:val="0"/>
          <w:i w:val="0"/>
        </w:rPr>
        <w:t xml:space="preserve"> holds the wrapped component; 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so a client sees </w:t>
      </w:r>
      <w:r>
        <w:rPr>
          <w:rFonts w:ascii="Consolas" w:hAnsi="Consolas"/>
          <w:sz w:val="19"/>
        </w:rPr>
        <w:t>redacting(metered(audited(cached(rules-v1))))</w:t>
      </w:r>
      <w:r>
        <w:rPr>
          <w:b w:val="0"/>
          <w:i w:val="0"/>
        </w:rPr>
        <w:t xml:space="preserve">.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passed; the defect appeared only when a test asserted that a degraded decision still reaches the audit sink, which it did not, because the substituted decision was produced outside the auditor.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 </w:t>
      </w:r>
      <w:r>
        <w:rPr>
          <w:rFonts w:ascii="Consolas" w:hAnsi="Consolas"/>
          <w:sz w:val="19"/>
        </w:rPr>
        <w:t>RiskSummaryVisitor</w:t>
      </w:r>
      <w:r>
        <w:rPr>
          <w:b w:val="0"/>
          <w:i w:val="0"/>
        </w:rPr>
        <w:t xml:space="preserve">, </w:t>
      </w:r>
      <w:r>
        <w:rPr>
          <w:rFonts w:ascii="Consolas" w:hAnsi="Consolas"/>
          <w:sz w:val="19"/>
        </w:rPr>
        <w:t>BlockedTransactionVisitor(minimum_score)</w:t>
      </w:r>
      <w:r>
        <w:rPr>
          <w:b w:val="0"/>
          <w:i w:val="0"/>
        </w:rPr>
        <w:t xml:space="preserve">, </w:t>
      </w:r>
      <w:r>
        <w:rPr>
          <w:rFonts w:ascii="Consolas" w:hAnsi="Consolas"/>
          <w:sz w:val="19"/>
        </w:rPr>
        <w:t>JsonExportVisitor</w:t>
      </w:r>
      <w:r>
        <w:rPr>
          <w:b w:val="0"/>
          <w:i w:val="0"/>
        </w:rPr>
        <w:t xml:space="preserve"> and </w:t>
      </w:r>
      <w:r>
        <w:rPr>
          <w:rFonts w:ascii="Consolas" w:hAnsi="Consolas"/>
          <w:sz w:val="19"/>
        </w:rPr>
        <w:t>ChannelRiskVisitor</w:t>
      </w:r>
      <w:r>
        <w:rPr>
          <w:b w:val="0"/>
          <w:i w:val="0"/>
        </w:rPr>
        <w:t xml:space="preserve"> — run through a </w:t>
      </w:r>
      <w:r>
        <w:rPr>
          <w:rFonts w:ascii="Consolas" w:hAnsi="Consolas"/>
          <w:sz w:val="19"/>
        </w:rPr>
        <w:t>render(batch, visitor)</w:t>
      </w:r>
      <w:r>
        <w:rPr>
          <w:b w:val="0"/>
          <w:i w:val="0"/>
        </w:rPr>
        <w:t xml:space="preserve"> driver. </w:t>
      </w:r>
      <w:r>
        <w:rPr>
          <w:rFonts w:ascii="Consolas" w:hAnsi="Consolas"/>
          <w:sz w:val="19"/>
        </w:rPr>
        <w:t>ScoredBatch</w:t>
      </w:r>
      <w:r>
        <w:rPr>
          <w:b w:val="0"/>
          <w:i w:val="0"/>
        </w:rPr>
        <w:t xml:space="preserve"> and </w:t>
      </w:r>
      <w:r>
        <w:rPr>
          <w:rFonts w:ascii="Consolas" w:hAnsi="Consolas"/>
          <w:sz w:val="19"/>
        </w:rPr>
        <w:t>ScoredTransaction</w:t>
      </w:r>
      <w:r>
        <w:rPr>
          <w:b w:val="0"/>
          <w:i w:val="0"/>
        </w:rPr>
        <w:t xml:space="preserve"> are immutable value objects that should not accumulate report logic, while reporting needs operations added repeatedly; adding a report is one class and no edit to the elements, demonstrated by </w:t>
      </w:r>
      <w:r>
        <w:rPr>
          <w:rFonts w:ascii="Consolas" w:hAnsi="Consolas"/>
          <w:sz w:val="19"/>
        </w:rPr>
        <w:t>ChannelRiskVisitor</w:t>
      </w:r>
      <w:r>
        <w:rPr>
          <w:b w:val="0"/>
          <w:i w:val="0"/>
        </w:rPr>
        <w:t xml:space="preserve">. </w:t>
      </w:r>
      <w:r>
        <w:rPr>
          <w:b/>
          <w:i w:val="0"/>
        </w:rPr>
        <w:t>Critical commentary.</w:t>
      </w:r>
      <w:r>
        <w:rPr>
          <w:b w:val="0"/>
          <w:i w:val="0"/>
        </w:rPr>
        <w:t xml:space="preserve"> A new </w:t>
      </w:r>
      <w:r>
        <w:rPr>
          <w:b w:val="0"/>
          <w:i/>
        </w:rPr>
        <w:t>element</w:t>
      </w:r>
      <w:r>
        <w:rPr>
          <w:b w:val="0"/>
          <w:i w:val="0"/>
        </w:rPr>
        <w:t xml:space="preserve"> type would force every visitor to change, which is acceptable because the element hierarchy is closed. The subtler risk is redaction drift: </w:t>
      </w:r>
      <w:r>
        <w:rPr>
          <w:rFonts w:ascii="Consolas" w:hAnsi="Consolas"/>
          <w:sz w:val="19"/>
        </w:rPr>
        <w:t>JsonExportVisitor</w:t>
      </w:r>
      <w:r>
        <w:rPr>
          <w:b w:val="0"/>
          <w:i w:val="0"/>
        </w:rPr>
        <w:t xml:space="preserve"> exports only the last four characters of the account number, and the run asserts that no exported record contains a full identifier.</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w:t>
      </w:r>
      <w:r>
        <w:rPr>
          <w:b w:val="0"/>
          <w:i/>
        </w:rPr>
        <w:t>family</w:t>
      </w:r>
      <w:r>
        <w:rPr>
          <w:b w:val="0"/>
          <w:i w:val="0"/>
        </w:rPr>
        <w:t xml:space="preserve">: </w:t>
      </w:r>
      <w:r>
        <w:rPr>
          <w:rFonts w:ascii="Consolas" w:hAnsi="Consolas"/>
          <w:sz w:val="19"/>
        </w:rPr>
        <w:t>create_config()</w:t>
      </w:r>
      <w:r>
        <w:rPr>
          <w:b w:val="0"/>
          <w:i w:val="0"/>
        </w:rPr>
        <w:t xml:space="preserve">, </w:t>
      </w:r>
      <w:r>
        <w:rPr>
          <w:rFonts w:ascii="Consolas" w:hAnsi="Consolas"/>
          <w:sz w:val="19"/>
        </w:rPr>
        <w:t>create_backend()</w:t>
      </w:r>
      <w:r>
        <w:rPr>
          <w:b w:val="0"/>
          <w:i w:val="0"/>
        </w:rPr>
        <w:t xml:space="preserve"> and </w:t>
      </w:r>
      <w:r>
        <w:rPr>
          <w:rFonts w:ascii="Consolas" w:hAnsi="Consolas"/>
          <w:sz w:val="19"/>
        </w:rPr>
        <w:t>create_explanation_generator()</w:t>
      </w:r>
      <w:r>
        <w:rPr>
          <w:b w:val="0"/>
          <w:i w:val="0"/>
        </w:rPr>
        <w:t xml:space="preserve">, with </w:t>
      </w:r>
      <w:r>
        <w:rPr>
          <w:rFonts w:ascii="Consolas" w:hAnsi="Consolas"/>
          <w:sz w:val="19"/>
        </w:rPr>
        <w:t>LocalHeuristicProviderFactory</w:t>
      </w:r>
      <w:r>
        <w:rPr>
          <w:b w:val="0"/>
          <w:i w:val="0"/>
        </w:rPr>
        <w:t xml:space="preserve"> producing an on-premise heuristic backend and template explainer and </w:t>
      </w:r>
      <w:r>
        <w:rPr>
          <w:rFonts w:ascii="Consolas" w:hAnsi="Consolas"/>
          <w:sz w:val="19"/>
        </w:rPr>
        <w:t>HostedLlmProviderFactory</w:t>
      </w:r>
      <w:r>
        <w:rPr>
          <w:b w:val="0"/>
          <w:i w:val="0"/>
        </w:rPr>
        <w:t xml:space="preserve"> a networked backend and narrative explainer, both around an </w:t>
      </w:r>
      <w:r>
        <w:rPr>
          <w:b/>
          <w:i w:val="0"/>
        </w:rPr>
        <w:t>injected transport callable</w:t>
      </w:r>
      <w:r>
        <w:rPr>
          <w:b w:val="0"/>
          <w:i w:val="0"/>
        </w:rPr>
        <w:t xml:space="preserve">. </w:t>
      </w:r>
      <w:r>
        <w:rPr>
          <w:rFonts w:ascii="Consolas" w:hAnsi="Consolas"/>
          <w:sz w:val="19"/>
        </w:rPr>
        <w:t>assemble()</w:t>
      </w:r>
      <w:r>
        <w:rPr>
          <w:b w:val="0"/>
          <w:i w:val="0"/>
        </w:rPr>
        <w:t xml:space="preserve"> returns the family only after a consistency check, because a hosted endpoint with redaction off or a narrative explainer paired with a backend that cannot produce one are contradictions. </w:t>
      </w:r>
      <w:r>
        <w:rPr>
          <w:b/>
          <w:i w:val="0"/>
        </w:rPr>
        <w:t>Critical commentary.</w:t>
      </w:r>
      <w:r>
        <w:rPr>
          <w:b w:val="0"/>
          <w:i w:val="0"/>
        </w:rPr>
        <w:t xml:space="preserve"> With two families this is arguable, but the family relationship is the real invariant and a tuple-returning function would make the consistency check optional. The payoff is that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w:t>
      </w:r>
      <w:r>
        <w:rPr>
          <w:rFonts w:ascii="Consolas" w:hAnsi="Consolas"/>
          <w:sz w:val="19"/>
        </w:rPr>
        <w:t>requests</w:t>
      </w:r>
      <w:r>
        <w:rPr>
          <w:b w:val="0"/>
          <w:i w:val="0"/>
        </w:rPr>
        <w:t xml:space="preserve">, </w:t>
      </w:r>
      <w:r>
        <w:rPr>
          <w:rFonts w:ascii="Consolas" w:hAnsi="Consolas"/>
          <w:sz w:val="19"/>
        </w:rPr>
        <w:t>httpx</w:t>
      </w:r>
      <w:r>
        <w:rPr>
          <w:b w:val="0"/>
          <w:i w:val="0"/>
        </w:rPr>
        <w:t xml:space="preserve"> or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 name, version, stage, artifact reference, metrics, </w:t>
      </w:r>
      <w:r>
        <w:rPr>
          <w:rFonts w:ascii="Consolas" w:hAnsi="Consolas"/>
          <w:sz w:val="19"/>
        </w:rPr>
        <w:t>registered_by</w:t>
      </w:r>
      <w:r>
        <w:rPr>
          <w:b w:val="0"/>
          <w:i w:val="0"/>
        </w:rPr>
        <w:t xml:space="preserve"> — and </w:t>
      </w:r>
      <w:r>
        <w:rPr>
          <w:rFonts w:ascii="Consolas" w:hAnsi="Consolas"/>
          <w:sz w:val="19"/>
        </w:rPr>
        <w:t>ModelRegistry</w:t>
      </w:r>
      <w:r>
        <w:rPr>
          <w:b w:val="0"/>
          <w:i w:val="0"/>
        </w:rPr>
        <w:t xml:space="preserve"> is thread-safe, enforcing </w:t>
      </w:r>
      <w:r>
        <w:rPr>
          <w:rFonts w:ascii="Consolas" w:hAnsi="Consolas"/>
          <w:sz w:val="19"/>
        </w:rPr>
        <w:t>_ALLOWED_TRANSITIONS</w:t>
      </w:r>
      <w:r>
        <w:rPr>
          <w:b w:val="0"/>
          <w:i w:val="0"/>
        </w:rPr>
        <w:t xml:space="preserve">. Run section 7 shows the lifecycle: 2.1.0 live, 2.2.0 registered into </w:t>
      </w:r>
      <w:r>
        <w:rPr>
          <w:rFonts w:ascii="Consolas" w:hAnsi="Consolas"/>
          <w:sz w:val="19"/>
        </w:rPr>
        <w:t>DEVELOPMENT</w:t>
      </w:r>
      <w:r>
        <w:rPr>
          <w:b w:val="0"/>
          <w:i w:val="0"/>
        </w:rPr>
        <w:t xml:space="preserve">,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but never wrote it back into the internal mapping; single-call tests passed because the return value was correct, and the bug surfaced only when a test promoted a version and then asked the registry what was live — an assertion on a return value cannot detect a missing state mutation. The registry now asserts through a second read path (</w:t>
      </w:r>
      <w:r>
        <w:rPr>
          <w:rFonts w:ascii="Consolas" w:hAnsi="Consolas"/>
          <w:sz w:val="19"/>
        </w:rPr>
        <w:t>get_production</w:t>
      </w:r>
      <w:r>
        <w:rPr>
          <w:b w:val="0"/>
          <w:i w:val="0"/>
        </w:rPr>
        <w:t xml:space="preserve">, </w:t>
      </w:r>
      <w:r>
        <w:rPr>
          <w:rFonts w:ascii="Consolas" w:hAnsi="Consolas"/>
          <w:sz w:val="19"/>
        </w:rPr>
        <w:t>history</w:t>
      </w:r>
      <w:r>
        <w:rPr>
          <w:b w:val="0"/>
          <w:i w:val="0"/>
        </w:rPr>
        <w:t>) after every transition.</w:t>
      </w:r>
    </w:p>
    <w:p>
      <w:pPr>
        <w:spacing w:after="120"/>
      </w:pPr>
      <w:r>
        <w:rPr>
          <w:b/>
          <w:i w:val="0"/>
        </w:rPr>
        <w:t>Feature Store</w:t>
      </w:r>
      <w:r>
        <w:rPr>
          <w:b w:val="0"/>
          <w:i w:val="0"/>
        </w:rPr>
        <w:t xml:space="preserve"> (</w:t>
      </w:r>
      <w:r>
        <w:rPr>
          <w:rFonts w:ascii="Consolas" w:hAnsi="Consolas"/>
          <w:sz w:val="19"/>
        </w:rPr>
        <w:t>feature_store.py</w:t>
      </w:r>
      <w:r>
        <w:rPr>
          <w:b w:val="0"/>
          <w:i w:val="0"/>
        </w:rPr>
        <w:t xml:space="preserve">). </w:t>
      </w:r>
      <w:r>
        <w:rPr>
          <w:rFonts w:ascii="Consolas" w:hAnsi="Consolas"/>
          <w:sz w:val="19"/>
        </w:rPr>
        <w:t>FeatureDefinition</w:t>
      </w:r>
      <w:r>
        <w:rPr>
          <w:b w:val="0"/>
          <w:i w:val="0"/>
        </w:rPr>
        <w:t xml:space="preserve"> (name, version, description, </w:t>
      </w:r>
      <w:r>
        <w:rPr>
          <w:rFonts w:ascii="Consolas" w:hAnsi="Consolas"/>
          <w:sz w:val="19"/>
        </w:rPr>
        <w:t>extractor</w:t>
      </w:r>
      <w:r>
        <w:rPr>
          <w:b w:val="0"/>
          <w:i w:val="0"/>
        </w:rPr>
        <w:t xml:space="preserve">, </w:t>
      </w:r>
      <w:r>
        <w:rPr>
          <w:rFonts w:ascii="Consolas" w:hAnsi="Consolas"/>
          <w:sz w:val="19"/>
        </w:rPr>
        <w:t>owner</w:t>
      </w:r>
      <w:r>
        <w:rPr>
          <w:b w:val="0"/>
          <w:i w:val="0"/>
        </w:rPr>
        <w:t xml:space="preserve">) backs a store with a re-entrant lock and seven features; re-registering the same name and version is a no-op so start-up is idempotent, while a </w:t>
      </w:r>
      <w:r>
        <w:rPr>
          <w:b w:val="0"/>
          <w:i/>
        </w:rPr>
        <w:t>different</w:t>
      </w:r>
      <w:r>
        <w:rPr>
          <w:b w:val="0"/>
          <w:i w:val="0"/>
        </w:rPr>
        <w:t xml:space="preserve"> version under an existing name raises. </w:t>
      </w:r>
      <w:r>
        <w:rPr>
          <w:b/>
          <w:i w:val="0"/>
        </w:rPr>
        <w:t>Critical commentary.</w:t>
      </w:r>
      <w:r>
        <w:rPr>
          <w:b w:val="0"/>
          <w:i w:val="0"/>
        </w:rPr>
        <w:t xml:space="preserve"> The decisive choice was refusing to treat a missing feature as zero or a non-finite value silently: the rules engine skips a rule whose feature is absent, recording the omission by its absence from </w:t>
      </w:r>
      <w:r>
        <w:rPr>
          <w:rFonts w:ascii="Consolas" w:hAnsi="Consolas"/>
          <w:sz w:val="19"/>
        </w:rPr>
        <w:t>contributions</w:t>
      </w:r>
      <w:r>
        <w:rPr>
          <w:b w:val="0"/>
          <w:i w:val="0"/>
        </w:rPr>
        <w:t xml:space="preserve">, and </w:t>
      </w:r>
      <w:r>
        <w:rPr>
          <w:rFonts w:ascii="Consolas" w:hAnsi="Consolas"/>
          <w:sz w:val="19"/>
        </w:rPr>
        <w:t>compute</w:t>
      </w:r>
      <w:r>
        <w:rPr>
          <w:b w:val="0"/>
          <w:i w:val="0"/>
        </w:rPr>
        <w:t xml:space="preserve"> converts a non-finite extractor result into </w:t>
      </w:r>
      <w:r>
        <w:rPr>
          <w:rFonts w:ascii="Consolas" w:hAnsi="Consolas"/>
          <w:sz w:val="19"/>
        </w:rPr>
        <w:t>FeatureStoreError</w:t>
      </w:r>
      <w:r>
        <w:rPr>
          <w:b w:val="0"/>
          <w:i w:val="0"/>
        </w:rPr>
        <w:t>.</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deliberately minimal locator with explicit factories, lazy singleton caching and a loud </w:t>
      </w:r>
      <w:r>
        <w:rPr>
          <w:rFonts w:ascii="Consolas" w:hAnsi="Consolas"/>
          <w:sz w:val="19"/>
        </w:rPr>
        <w:t>ValidationError</w:t>
      </w:r>
      <w:r>
        <w:rPr>
          <w:b w:val="0"/>
          <w:i w:val="0"/>
        </w:rPr>
        <w:t xml:space="preserve"> naming the missing key, and </w:t>
      </w:r>
      <w:r>
        <w:rPr>
          <w:rFonts w:ascii="Consolas" w:hAnsi="Consolas"/>
          <w:sz w:val="19"/>
        </w:rPr>
        <w:t>build_risk_service()</w:t>
      </w:r>
      <w:r>
        <w:rPr>
          <w:b w:val="0"/>
          <w:i w:val="0"/>
        </w:rPr>
        <w:t xml:space="preserve"> is the composition root, the only function naming concrete implementations. Every dependency that would otherwise touch the outside world — transport, clock, sink, backend — is a constructor argument, which makes the suite deterministic and offline. </w:t>
      </w:r>
      <w:r>
        <w:rPr>
          <w:b/>
          <w:i w:val="0"/>
        </w:rPr>
        <w:t>Critical commentary.</w:t>
      </w:r>
      <w:r>
        <w:rPr>
          <w:b w:val="0"/>
          <w:i w:val="0"/>
        </w:rPr>
        <w:t xml:space="preserve"> A framework container would be over-engineering at this size, so the container is about 45 lines and prefers explicit factories to convention-based resolution; a service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running in under 1.5 seconds entirely offline (394 tests including Unit 6). </w:t>
      </w:r>
      <w:r>
        <w:rPr>
          <w:rFonts w:ascii="Consolas" w:hAnsi="Consolas"/>
          <w:sz w:val="19"/>
        </w:rPr>
        <w:t>conftest.py</w:t>
      </w:r>
      <w:r>
        <w:rPr>
          <w:b w:val="0"/>
          <w:i w:val="0"/>
        </w:rPr>
        <w:t xml:space="preserve"> names its doubles by category: </w:t>
      </w:r>
      <w:r>
        <w:rPr>
          <w:b/>
          <w:i w:val="0"/>
        </w:rPr>
        <w:t>stubs</w:t>
      </w:r>
      <w:r>
        <w:rPr>
          <w:b w:val="0"/>
          <w:i w:val="0"/>
        </w:rPr>
        <w:t xml:space="preserve"> (</w:t>
      </w:r>
      <w:r>
        <w:rPr>
          <w:rFonts w:ascii="Consolas" w:hAnsi="Consolas"/>
          <w:sz w:val="19"/>
        </w:rPr>
        <w:t>CannedTransport</w:t>
      </w:r>
      <w:r>
        <w:rPr>
          <w:b w:val="0"/>
          <w:i w:val="0"/>
        </w:rPr>
        <w:t xml:space="preserve">, </w:t>
      </w:r>
      <w:r>
        <w:rPr>
          <w:rFonts w:ascii="Consolas" w:hAnsi="Consolas"/>
          <w:sz w:val="19"/>
        </w:rPr>
        <w:t>FailingBackend</w:t>
      </w:r>
      <w:r>
        <w:rPr>
          <w:b w:val="0"/>
          <w:i w:val="0"/>
        </w:rPr>
        <w:t xml:space="preserve">, </w:t>
      </w:r>
      <w:r>
        <w:rPr>
          <w:rFonts w:ascii="Consolas" w:hAnsi="Consolas"/>
          <w:sz w:val="19"/>
        </w:rPr>
        <w:t>StubScoringStrategy</w:t>
      </w:r>
      <w:r>
        <w:rPr>
          <w:b w:val="0"/>
          <w:i w:val="0"/>
        </w:rPr>
        <w:t xml:space="preserve">), a </w:t>
      </w:r>
      <w:r>
        <w:rPr>
          <w:b/>
          <w:i w:val="0"/>
        </w:rPr>
        <w:t>fake</w:t>
      </w:r>
      <w:r>
        <w:rPr>
          <w:b w:val="0"/>
          <w:i w:val="0"/>
        </w:rPr>
        <w:t xml:space="preserve"> (</w:t>
      </w:r>
      <w:r>
        <w:rPr>
          <w:rFonts w:ascii="Consolas" w:hAnsi="Consolas"/>
          <w:sz w:val="19"/>
        </w:rPr>
        <w:t>RecordingBackend</w:t>
      </w:r>
      <w:r>
        <w:rPr>
          <w:b w:val="0"/>
          <w:i w:val="0"/>
        </w:rPr>
        <w:t xml:space="preserve">) and </w:t>
      </w:r>
      <w:r>
        <w:rPr>
          <w:b/>
          <w:i w:val="0"/>
        </w:rPr>
        <w:t>spies</w:t>
      </w:r>
      <w:r>
        <w:rPr>
          <w:b w:val="0"/>
          <w:i w:val="0"/>
        </w:rPr>
        <w:t xml:space="preserve"> (</w:t>
      </w:r>
      <w:r>
        <w:rPr>
          <w:rFonts w:ascii="Consolas" w:hAnsi="Consolas"/>
          <w:sz w:val="19"/>
        </w:rPr>
        <w:t>CallRecorder</w:t>
      </w:r>
      <w:r>
        <w:rPr>
          <w:b w:val="0"/>
          <w:i w:val="0"/>
        </w:rPr>
        <w:t xml:space="preserve">); </w:t>
      </w:r>
      <w:r>
        <w:rPr>
          <w:rFonts w:ascii="Consolas" w:hAnsi="Consolas"/>
          <w:sz w:val="19"/>
        </w:rPr>
        <w:t>CannedTransport</w:t>
      </w:r>
      <w:r>
        <w:rPr>
          <w:b w:val="0"/>
          <w:i w:val="0"/>
        </w:rPr>
        <w:t xml:space="preserve"> takes an optional payload </w:t>
      </w:r>
      <w:r>
        <w:rPr>
          <w:b w:val="0"/>
          <w:i/>
        </w:rPr>
        <w:t>or</w:t>
      </w:r>
      <w:r>
        <w:rPr>
          <w:b w:val="0"/>
          <w:i w:val="0"/>
        </w:rPr>
        <w:t xml:space="preserve"> error, so three lines cover success and outage.</w:t>
      </w:r>
    </w:p>
    <w:p>
      <w:pPr>
        <w:spacing w:after="120"/>
      </w:pPr>
      <w:r>
        <w:rPr>
          <w:b/>
          <w:i w:val="0"/>
        </w:rPr>
        <w:t>Reflection on AI-assisted testing.</w:t>
      </w:r>
      <w:r>
        <w:rPr>
          <w:b w:val="0"/>
          <w:i w:val="0"/>
        </w:rPr>
        <w:t xml:space="preserve"> An AI assistant drafted tests from class contracts and found boundary cases I had not enumerated — a boolean score, which is an </w:t>
      </w:r>
      <w:r>
        <w:rPr>
          <w:rFonts w:ascii="Consolas" w:hAnsi="Consolas"/>
          <w:sz w:val="19"/>
        </w:rPr>
        <w:t>int</w:t>
      </w:r>
      <w:r>
        <w:rPr>
          <w:b w:val="0"/>
          <w:i w:val="0"/>
        </w:rPr>
        <w:t xml:space="preserve"> in Python and would otherwise pass </w:t>
      </w:r>
      <w:r>
        <w:rPr>
          <w:rFonts w:ascii="Consolas" w:hAnsi="Consolas"/>
          <w:sz w:val="19"/>
        </w:rPr>
        <w:t>isinstance</w:t>
      </w:r>
      <w:r>
        <w:rPr>
          <w:b w:val="0"/>
          <w:i w:val="0"/>
        </w:rPr>
        <w:t xml:space="preserve">, and a payload missing the score key. It also created risk: confidently wrong assertions, including a test that searched for the letter "a" to assert a feature name was absent (explanation text contains one), a redaction expectation of one masked character when the implementation masks all but the last four, and a contract that did not exist, that </w:t>
      </w:r>
      <w:r>
        <w:rPr>
          <w:rFonts w:ascii="Consolas" w:hAnsi="Consolas"/>
          <w:sz w:val="19"/>
        </w:rPr>
        <w:t>history()</w:t>
      </w:r>
      <w:r>
        <w:rPr>
          <w:b w:val="0"/>
          <w:i w:val="0"/>
        </w:rPr>
        <w:t xml:space="preserve"> returns an empty list for an unknown model when it deliberately raises. None were detectable by reading the generated test, only by running it and understanding why it failed, so AI assistance is an accelerant for breadth, not a substitute for judgement about what a correct assertion means.</w:t>
      </w:r>
    </w:p>
    <w:p>
      <w:pPr>
        <w:pStyle w:val="Heading2"/>
      </w:pPr>
      <w:r>
        <w:rPr>
          <w:b w:val="0"/>
          <w:i w:val="0"/>
        </w:rPr>
        <w:t>2.9 Capstone: scalable architecture, robustness and AI-readiness</w:t>
      </w:r>
    </w:p>
    <w:p>
      <w:pPr>
        <w:spacing w:after="120"/>
      </w:pPr>
      <w:r>
        <w:rPr>
          <w:b w:val="0"/>
          <w:i w:val="0"/>
        </w:rPr>
        <w:t xml:space="preserve">The capstone is a </w:t>
      </w:r>
      <w:r>
        <w:rPr>
          <w:b/>
          <w:i w:val="0"/>
        </w:rPr>
        <w:t>transaction risk-assessment engine</w:t>
      </w:r>
      <w:r>
        <w:rPr>
          <w:b w:val="0"/>
          <w:i w:val="0"/>
        </w:rPr>
        <w:t xml:space="preserve">. </w:t>
      </w:r>
      <w:r>
        <w:rPr>
          <w:b w:val="0"/>
          <w:i/>
        </w:rPr>
        <w:t>Scalability:</w:t>
      </w:r>
      <w:r>
        <w:rPr>
          <w:b w:val="0"/>
          <w:i w:val="0"/>
        </w:rPr>
        <w:t xml:space="preserve"> feature computation is pure and parallelisable, caching is an inner decorator replaceable by a distributed cache, the registry centralises lifecycle state,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promotion changing attribution, and illegal transitions refused; abstraction via </w:t>
      </w:r>
      <w:r>
        <w:rPr>
          <w:rFonts w:ascii="Consolas" w:hAnsi="Consolas"/>
          <w:sz w:val="19"/>
        </w:rPr>
        <w:t>ScoringBackend</w:t>
      </w:r>
      <w:r>
        <w:rPr>
          <w:b w:val="0"/>
          <w:i w:val="0"/>
        </w:rPr>
        <w:t xml:space="preserve">, contracts via </w:t>
      </w:r>
      <w:r>
        <w:rPr>
          <w:rFonts w:ascii="Consolas" w:hAnsi="Consolas"/>
          <w:sz w:val="19"/>
        </w:rPr>
        <w:t>StrategyOutput</w:t>
      </w:r>
      <w:r>
        <w:rPr>
          <w:b w:val="0"/>
          <w:i w:val="0"/>
        </w:rPr>
        <w:t xml:space="preserve"> and versioned </w:t>
      </w:r>
      <w:r>
        <w:rPr>
          <w:rFonts w:ascii="Consolas" w:hAnsi="Consolas"/>
          <w:sz w:val="19"/>
        </w:rPr>
        <w:t>FeatureDefinition</w:t>
      </w:r>
      <w:r>
        <w:rPr>
          <w:b w:val="0"/>
          <w:i w:val="0"/>
        </w:rPr>
        <w:t>, and a registry that makes model version a runtime fact.</w:t>
      </w:r>
    </w:p>
    <w:p>
      <w:pPr>
        <w:spacing w:after="120"/>
      </w:pPr>
      <w:r>
        <w:rPr>
          <w:b w:val="0"/>
          <w:i w:val="0"/>
        </w:rPr>
        <w:t>Figure 1 shows how these parts compose: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yielding two </w:t>
      </w:r>
      <w:r>
        <w:rPr>
          <w:rFonts w:ascii="Consolas" w:hAnsi="Consolas"/>
          <w:sz w:val="19"/>
        </w:rPr>
        <w:t>allow</w:t>
      </w:r>
      <w:r>
        <w:rPr>
          <w:b w:val="0"/>
          <w:i w:val="0"/>
        </w:rPr>
        <w:t xml:space="preserve">, three </w:t>
      </w:r>
      <w:r>
        <w:rPr>
          <w:rFonts w:ascii="Consolas" w:hAnsi="Consolas"/>
          <w:sz w:val="19"/>
        </w:rPr>
        <w:t>review</w:t>
      </w:r>
      <w:r>
        <w:rPr>
          <w:b w:val="0"/>
          <w:i w:val="0"/>
        </w:rPr>
        <w:t xml:space="preserve"> and one </w:t>
      </w:r>
      <w:r>
        <w:rPr>
          <w:rFonts w:ascii="Consolas" w:hAnsi="Consolas"/>
          <w:sz w:val="19"/>
        </w:rPr>
        <w:t>block</w:t>
      </w:r>
      <w:r>
        <w:rPr>
          <w:b w:val="0"/>
          <w:i w:val="0"/>
        </w:rPr>
        <w:t>; six audit records containing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 provider outage with a three-attempt retry budget and explicit degradation; hostile-payload rejection; model promotion with lifecycle enforcement; and singleton resolution.</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and the rejections are part of the work: Strategy over a scorer hierarchy, Decorator over subclass combinations, Visitor over report methods, Abstract Factory over a factory function, constructor injection over a container inside the domain. </w:t>
      </w:r>
      <w:r>
        <w:rPr>
          <w:b/>
          <w:i w:val="0"/>
        </w:rPr>
        <w:t>Testing complexity.</w:t>
      </w:r>
      <w:r>
        <w:rPr>
          <w:b w:val="0"/>
          <w:i w:val="0"/>
        </w:rPr>
        <w:t xml:space="preserve"> Both defects were cases where tests were individually correct and the system collectively wrong. </w:t>
      </w:r>
      <w:r>
        <w:rPr>
          <w:b/>
          <w:i w:val="0"/>
        </w:rPr>
        <w:t>Abstraction versus over-engineering.</w:t>
      </w:r>
      <w:r>
        <w:rPr>
          <w:b w:val="0"/>
          <w:i w:val="0"/>
        </w:rPr>
        <w:t xml:space="preserve"> Every abstraction required a rejected alternative and a stated cost; the sixth decorator was rejected, and the minimal container is the seam for provider selection rather than a general-purpose framework.</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that a reviewer can read directly. The residual risk is real: those weights are expert-set rather than learned, so they encode the blind spots of whoever set them — the engine makes bias </w:t>
      </w:r>
      <w:r>
        <w:rPr>
          <w:b w:val="0"/>
          <w:i/>
        </w:rPr>
        <w:t>inspectable</w:t>
      </w:r>
      <w:r>
        <w:rPr>
          <w:b w:val="0"/>
          <w:i w:val="0"/>
        </w:rPr>
        <w:t xml:space="preserve">, not </w:t>
      </w:r>
      <w:r>
        <w:rPr>
          <w:b w:val="0"/>
          <w:i/>
        </w:rPr>
        <w:t>absent</w:t>
      </w:r>
      <w:r>
        <w:rPr>
          <w:b w:val="0"/>
          <w:i w:val="0"/>
        </w:rPr>
        <w:t xml:space="preserve">.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and a provider's narrative is sanitised as untrusted content rather than treated as fact. </w:t>
      </w:r>
      <w:r>
        <w:rPr>
          <w:b w:val="0"/>
          <w:i/>
        </w:rPr>
        <w:t>Avoiding 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so the coupling is a revocable composition-root decision.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 since their </w:t>
      </w:r>
      <w:r>
        <w:rPr>
          <w:rFonts w:ascii="Consolas" w:hAnsi="Consolas"/>
          <w:sz w:val="19"/>
        </w:rPr>
        <w:t>result()</w:t>
      </w:r>
      <w:r>
        <w:rPr>
          <w:b w:val="0"/>
          <w:i w:val="0"/>
        </w:rPr>
        <w:t xml:space="preserve"> shapes differ deliberately.</w:t>
      </w:r>
    </w:p>
    <w:p>
      <w:pPr>
        <w:spacing w:after="120"/>
      </w:pPr>
      <w:r>
        <w:rPr>
          <w:b/>
          <w:i w:val="0"/>
        </w:rPr>
        <w:t>Research and self-study.</w:t>
      </w:r>
      <w:r>
        <w:rPr>
          <w:b w:val="0"/>
          <w:i w:val="0"/>
        </w:rPr>
        <w:t xml:space="preserve"> Reading fell into three groups: pattern and principle sources (Gamma et al., 1994; Martin, 2000, 2017; Fowler, 2004, 2018) for vocabulary and named trade-offs; AI-systems sources (Sculley et al., 2015; Mitchell et al., 2019) for the feature-store and registry arguments; and risk and fairness sources (Aven and Thekdi, 2025; Barocas et al., 2023). The most useful outcome was negative: none of the pattern literature treats </w:t>
      </w:r>
      <w:r>
        <w:rPr>
          <w:b w:val="0"/>
          <w:i/>
        </w:rPr>
        <w:t>governance</w:t>
      </w:r>
      <w:r>
        <w:rPr>
          <w:b w:val="0"/>
          <w:i w:val="0"/>
        </w:rPr>
        <w:t xml:space="preserv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 one pattern, one test module, one evidence capture — so evidence capture happened alongside construction rather than being reconstructed at the end. My concrete failure was underestimating test-writing: closing coverage from 87% to 99% took three new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and </w:t>
      </w:r>
      <w:r>
        <w:rPr>
          <w:rFonts w:ascii="Consolas" w:hAnsi="Consolas"/>
          <w:sz w:val="19"/>
        </w:rPr>
        <w:t>_ALLOWED_TRANSITIONS</w:t>
      </w:r>
      <w:r>
        <w:rPr>
          <w:b w:val="0"/>
          <w:i w:val="0"/>
        </w:rPr>
        <w:t xml:space="preserve"> documents why </w:t>
      </w:r>
      <w:r>
        <w:rPr>
          <w:rFonts w:ascii="Consolas" w:hAnsi="Consolas"/>
          <w:sz w:val="19"/>
        </w:rPr>
        <w:t>ARCHIVED</w:t>
      </w:r>
      <w:r>
        <w:rPr>
          <w:b w:val="0"/>
          <w:i w:val="0"/>
        </w:rPr>
        <w:t xml:space="preserve"> is terminal.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portfolio is submitted as individual work, and Appendix B records the collaboration evidence I hold and what must be attached from personal records. Reviewing another student's decorator implementation nonetheless forced me to articulate my own ordering decision out loud.</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 untrusted replies rejected</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or drift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Deepen expertise in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that my design currently assumes someone else provides; Cloud Practitioner comes first. </w:t>
      </w:r>
      <w:r>
        <w:rPr>
          <w:b w:val="0"/>
          <w:i/>
        </w:rPr>
        <w:t>Reading:</w:t>
      </w:r>
      <w:r>
        <w:rPr>
          <w:b w:val="0"/>
          <w:i w:val="0"/>
        </w:rPr>
        <w:t xml:space="preserve"> Sculley et al. (2015) with a design-review lens, Kleppmann (2017) for the distributed-systems reasoning a durable registry needs, and the MLflow (MLflow, 2026) and Feast (Feast, 2026) documentation as reference implementations to compare against my interfaces. </w:t>
      </w:r>
      <w:r>
        <w:rPr>
          <w:b w:val="0"/>
          <w:i/>
        </w:rPr>
        <w:t>Applied project:</w:t>
      </w:r>
      <w:r>
        <w:rPr>
          <w:b w:val="0"/>
          <w:i w:val="0"/>
        </w:rPr>
        <w:t xml:space="preserve"> a persistent registry with an append-only promotion audit, and drift detection added as a </w:t>
      </w:r>
      <w:r>
        <w:rPr>
          <w:b/>
          <w:i w:val="0"/>
        </w:rPr>
        <w:t>new visitor</w:t>
      </w:r>
      <w:r>
        <w:rPr>
          <w:b w:val="0"/>
          <w:i w:val="0"/>
        </w:rPr>
        <w:t>, the cleanest demonstration that the Visitor's extension claim is real.</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and metamorphic testing target; a property such as "for every promotion, the registry's production version equals the last promoted version"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so every future provider is validated against one behavioural contract.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 to measure the residual risk of expert-set weights identified in Task 3.</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et al. (2023) properly rather than selectively; the NIST AI Risk Management Framework (NIST, 2023) as a governance structure for the audit and registry design; and the EU AI Act's high-risk obligations (European Parliament and Council, 2024), since credit scoring is a named high-risk category requiring auditability and documented model lifecycle. </w:t>
      </w:r>
      <w:r>
        <w:rPr>
          <w:b w:val="0"/>
          <w:i/>
        </w:rPr>
        <w:t>Practice:</w:t>
      </w:r>
      <w:r>
        <w:rPr>
          <w:b w:val="0"/>
          <w:i w:val="0"/>
        </w:rPr>
        <w:t xml:space="preserve"> adopt model cards (Mitchell et al., 2019) as required artefacts for every registered version, extending </w:t>
      </w:r>
      <w:r>
        <w:rPr>
          <w:rFonts w:ascii="Consolas" w:hAnsi="Consolas"/>
          <w:sz w:val="19"/>
        </w:rPr>
        <w:t>ModelRecord</w:t>
      </w:r>
      <w:r>
        <w:rPr>
          <w:b w:val="0"/>
          <w:i w:val="0"/>
        </w:rPr>
        <w:t xml:space="preserve"> with a required promotion rationale and refusing </w:t>
      </w:r>
      <w:r>
        <w:rPr>
          <w:rFonts w:ascii="Consolas" w:hAnsi="Consolas"/>
          <w:sz w:val="19"/>
        </w:rPr>
        <w:t>PRODUCTION</w:t>
      </w:r>
      <w:r>
        <w:rPr>
          <w:b w:val="0"/>
          <w:i w:val="0"/>
        </w:rPr>
        <w:t xml:space="preserve"> promotion without it. </w:t>
      </w:r>
      <w:r>
        <w:rPr>
          <w:b w:val="0"/>
          <w:i/>
        </w:rPr>
        <w:t>Applied project:</w:t>
      </w:r>
      <w:r>
        <w:rPr>
          <w:b w:val="0"/>
          <w:i w:val="0"/>
        </w:rPr>
        <w:t xml:space="preserve"> implement the fairness evaluation as a fifth reporting visitor, making bias a repeated measurement rather than a one-off conversation.</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et al.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Helm, R., Johnson, R. and Vlissides, J.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Wu, S., Zaldivar, A., Barnes, P., Vasserman, L., Hutchinson, B., Spitzer, E., Raji, I.D. and Gebru, T.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Holt, G., Golovin, D., Davydov, E., Phillips, T., Ebner, D., Chaudhary, V., Young, M., Crespo, J.-F. and Dennison, D.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Collaboration and integrity evidence (student to complete)</w:t>
      </w:r>
    </w:p>
    <w:p>
      <w:pPr>
        <w:spacing w:after="120"/>
      </w:pPr>
      <w:r>
        <w:rPr>
          <w:b w:val="0"/>
          <w:i w:val="0"/>
        </w:rPr>
        <w:t xml:space="preserve">Twenty per cent of the module mark depends on evidence of independent working, or of individual contribution to a group project, and that evidence must be the student's own real trace. Nothing here has been generated on the student's behalf; the table is a checklist to complete, using the summary in </w:t>
      </w:r>
      <w:r>
        <w:rPr>
          <w:rFonts w:ascii="Consolas" w:hAnsi="Consolas"/>
          <w:sz w:val="19"/>
        </w:rPr>
        <w:t>integrity_and_collaboration_notes.md</w:t>
      </w:r>
      <w:r>
        <w:rPr>
          <w:b w:val="0"/>
          <w:i w:val="0"/>
        </w:rPr>
        <w:t xml:space="preserve"> and the log in </w:t>
      </w:r>
      <w:r>
        <w:rPr>
          <w:rFonts w:ascii="Consolas" w:hAnsi="Consolas"/>
          <w:sz w:val="19"/>
        </w:rPr>
        <w:t>contribution_log_template.md</w:t>
      </w:r>
      <w:r>
        <w:rPr>
          <w:b w:val="0"/>
          <w:i w:val="0"/>
        </w:rPr>
        <w: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What to attach</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b w:val="0"/>
                <w:i w:val="0"/>
                <w:sz w:val="19"/>
              </w:rPr>
              <w:t xml:space="preserve">Git log with your commits, dates and messages, or </w:t>
            </w:r>
            <w:r>
              <w:rPr>
                <w:rFonts w:ascii="Consolas" w:hAnsi="Consolas"/>
                <w:sz w:val="19"/>
              </w:rPr>
              <w:t>git shortlog -sne</w:t>
            </w:r>
            <w:r>
              <w:rPr>
                <w:b w:val="0"/>
                <w:i w:val="0"/>
                <w:sz w:val="19"/>
              </w:rPr>
              <w:t xml:space="preserve"> output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Task board export (Trello/Jira/GitHub Projects) showing items you owned and their state</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with your recorded actions</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you gave and received on another student's artefact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your response to it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signed planner extract showing your own schedule</w:t>
            </w:r>
          </w:p>
        </w:tc>
        <w:tc>
          <w:tcPr>
            <w:tcW w:type="dxa" w:w="3009"/>
          </w:tcPr>
          <w:p>
            <w:pPr>
              <w:spacing w:after="40"/>
            </w:pPr>
            <w:r>
              <w:rPr>
                <w:sz w:val="19"/>
              </w:rPr>
            </w:r>
            <w:r>
              <w:rPr>
                <w:b w:val="0"/>
                <w:i w:val="0"/>
                <w:sz w:val="19"/>
              </w:rPr>
              <w:t>Yes / No</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