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学生组荣誉奖），以唐代疆域为底图标注取经路线与关键事件⑥——但产品形态多为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构成本文的问题空间：</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篇解读与站内对话入口共享同一组令牌与组件，如诸艺同席；读者在站点中游观、检索与问答，如入一场持续展开的雅集。下文"五色雅集色板"即由此得名。</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8%"/>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8%"/>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五色雅集色板（朱砂/靛蓝/赭金/苔绿/米灰）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ease。例外须显式登记——统计数字 count-up 以 900ms easeOutExpo 作"白名单例外"，理由是数字增长是"宣告"型动效，需要更长的叙事时间与更果断的抵达感；契约允许例外，但例外必须显式登记并说明理由；若无此约束，例外将逐步累积并侵蚀契约本身。</w:t>
      </w: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五色雅集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类型筛选与地区高亮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（独立验证，协议待执行）：参考 Chen 等 20 人可用性研究范式⑮，设计小样本双条件对比——10-20 人，条件 A 新中式系统 vs 条件 B 通用模板（同数据同布局），任务为三页读图，指标为审美偏好（Likert）、任务完成时间、对比度自评（预期结果示意见图 6）。两条假设：H1，偏好 A 显著更高（依文化内偏好理论⑭）；H2，效率无实际差异（等效性检验）。若两假设均成立，"本土美学不以牺牲可读性为代价"这一核心主张获得实证支撑；若偏好不显著，则审美论证退回学理层面。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133725"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33725"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1907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用户研究结果·示意数据（来源：作者自绘，正式数据待研究执行后回填）</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修补式治理必然反复且只治表。本文把可及性重构为设计维度，三件套：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成功准则，扫描全站，问题分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 invisible 0、缺陷页 0、pageerror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r>
        <w:rPr>
          <w:rFonts w:ascii="Times New Roman" w:eastAsia="SimSun"/>
          <w:color w:val="000000"/>
          <w:sz w:val="24"/>
          <w:szCs w:val="24"/>
        </w:rPr>
        <w:t xml:space="preserve">——基线缺失则审计数字失去参照，门禁缺失则已修复的问题会随新页面回归。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这三条构成下一步工作的路线图。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佚名. 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学生组 Arthur Robinson 荣誉奖.</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李劼人《大波》人物网络分析（社会网络分析案例）[EB/OL]. 北京大学数字人文导航.</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eb9aab954bae28e9ccaec4a181f9c75a0c3b30ff.png"/><Relationship Id="rId13" Type="http://schemas.openxmlformats.org/officeDocument/2006/relationships/image" Target="media/2f7f59d4a41f64ca8d13f517051dcadf9e0107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2026-09-22T15:44:40.621Z</dcterms:created>
  <dcterms:modified xsi:type="dcterms:W3CDTF">2026-09-22T15:44:40.622Z</dcterms:modified>
</cp:coreProperties>
</file>

<file path=docProps/custom.xml><?xml version="1.0" encoding="utf-8"?>
<Properties xmlns="http://schemas.openxmlformats.org/officeDocument/2006/custom-properties" xmlns:vt="http://schemas.openxmlformats.org/officeDocument/2006/docPropsVTypes"/>
</file>