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414" w:lineRule="atLeast"/>
        <w:jc w:val="center"/>
      </w:pPr>
      <w:r>
        <w:rPr>
          <w:rFonts w:ascii="Times New Roman" w:eastAsia="SimHei"/>
          <w:b/>
          <w:bCs/>
          <w:color w:val="000000"/>
          <w:sz w:val="36"/>
          <w:szCs w:val="36"/>
        </w:rPr>
        <w:t xml:space="preserve">新中式·数字雅集：古典文学数据可视化的本土美学系统——以《西游记》86 幅交互可视化为例</w:t>
      </w:r>
    </w:p>
    <w:p>
      <w:pPr>
        <w:spacing w:before="60" w:line="36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中图分类号</w:t>
      </w:r>
      <w:r>
        <w:rPr>
          <w:rFonts w:ascii="Times New Roman" w:eastAsia="SimSun"/>
          <w:color w:val="000000"/>
          <w:sz w:val="24"/>
          <w:szCs w:val="24"/>
        </w:rPr>
        <w:t xml:space="preserve">：J05（艺术理论）　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文献标识码</w:t>
      </w:r>
      <w:r>
        <w:rPr>
          <w:rFonts w:ascii="Times New Roman" w:eastAsia="SimSun"/>
          <w:color w:val="000000"/>
          <w:sz w:val="24"/>
          <w:szCs w:val="24"/>
        </w:rPr>
        <w:t xml:space="preserve">：A</w:t>
      </w:r>
    </w:p>
    <w:p>
      <w:pPr>
        <w:pStyle w:val="Heading1"/>
        <w:spacing w:after="200" w:before="360" w:line="360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摘要</w:t>
      </w:r>
    </w:p>
    <w:p>
      <w:pPr>
        <w:spacing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把古典文学做成数据可视化，常得到一块仪表盘：白底蓝紫、西式模板，与文本无关，动效没有文化语义，可及性无人过问。本文以《西游记》86 幅交互可视化为实践对象，提出可复制的"新中式·数字雅集"设计系统：宣纸、墨、朱砂三种色相写成设计令牌，经三层架构分发至全部 233 个页面；动效收敛为三档时长与三条缓动曲线；可及性由 CSS 与 JS 双守卫内建；一源多形管线保证整套做法在 86 页规模上可复制。实践说明，本土美学可以落进令牌、规范与门禁，成为可迁移的设计方法论。</w:t>
      </w:r>
    </w:p>
    <w:p>
      <w:pPr>
        <w:spacing w:before="60" w:line="36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关键词</w:t>
      </w:r>
      <w:r>
        <w:rPr>
          <w:rFonts w:ascii="Times New Roman" w:eastAsia="SimSun"/>
          <w:color w:val="000000"/>
          <w:sz w:val="24"/>
          <w:szCs w:val="24"/>
        </w:rPr>
        <w:t xml:space="preserve">：数字人文；数据可视化；设计系统；中国美学；西游记</w:t>
      </w:r>
    </w:p>
    <w:p>
      <w:pPr>
        <w:spacing w:before="60" w:line="36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English Title</w:t>
      </w:r>
      <w:r>
        <w:rPr>
          <w:rFonts w:ascii="Times New Roman" w:eastAsia="SimSun"/>
          <w:color w:val="000000"/>
          <w:sz w:val="24"/>
          <w:szCs w:val="24"/>
        </w:rPr>
        <w:t xml:space="preserve">: New-Chinese Digital Elegance: A Local Aesthetic System for Classical Literature Data Visualization—A Case Study of 86 Interactive Visualizations of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Journey to the West</w:t>
      </w:r>
    </w:p>
    <w:p>
      <w:pPr>
        <w:spacing w:before="60" w:line="36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Abstract</w:t>
      </w:r>
      <w:r>
        <w:rPr>
          <w:rFonts w:ascii="Times New Roman" w:eastAsia="SimSun"/>
          <w:color w:val="000000"/>
          <w:sz w:val="24"/>
          <w:szCs w:val="24"/>
        </w:rPr>
        <w:t xml:space="preserve">: Digital-humanities visualization tends to be "dashboardized": data is disciplined into Western-template statistical charts, divorcing the visual language of cultural motifs from their textual cores, leaving motion without cultural semantics and accessibility ungoverned. Taking 86 interactive visualizations of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Journey to the West</w:t>
      </w:r>
      <w:r>
        <w:rPr>
          <w:rFonts w:ascii="Times New Roman" w:eastAsia="SimSun"/>
          <w:color w:val="000000"/>
          <w:sz w:val="24"/>
          <w:szCs w:val="24"/>
        </w:rPr>
        <w:t xml:space="preserve"> as an empirical case, this paper proposes a replicable "New-Chinese Digital Elegance" design system: rice-paper, ink and cinnabar tokens encode cultural semantics and are distributed across 233 pages through a three-tier architecture; a three-tier duration and easing contract governs motion; dual CSS/JS guards build in accessibility; a one-source-multi-form pipeline secures reproducibility. The practice shows that local aesthetics can be written into design tokens, motion specifications, and verification gates as a transferable design methodology for classical Chinese literature.</w:t>
      </w:r>
    </w:p>
    <w:p>
      <w:pPr>
        <w:spacing w:before="60" w:line="36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Keywords</w:t>
      </w:r>
      <w:r>
        <w:rPr>
          <w:rFonts w:ascii="Times New Roman" w:eastAsia="SimSun"/>
          <w:color w:val="000000"/>
          <w:sz w:val="24"/>
          <w:szCs w:val="24"/>
        </w:rPr>
        <w:t xml:space="preserve">: digital humanities; data visualization; design system; Chinese aesthetics;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Journey to the West</w:t>
      </w:r>
    </w:p>
    <w:p>
      <w:pPr>
        <w:pStyle w:val="Heading1"/>
        <w:spacing w:after="200" w:before="360" w:line="360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1 引言：可视化是否必然西化</w:t>
      </w:r>
    </w:p>
    <w:p>
      <w:pPr>
        <w:spacing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《西游记》写的是变形——孙悟空有七十二变，妖怪各有幻形。可把这部长篇小说做成数据可视化后，出来的东西几乎都是一个模样：白底，蓝紫色板，圆角卡片，标准的折线图和柱状图——界面不难看，信息也清楚，只是与所呈现的文本没有关系。</w:t>
      </w:r>
    </w:p>
    <w:p>
      <w:pPr>
        <w:spacing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近年叙事学界对"故事"本身提出疑问：Wall 与 Lee 分析《西游记》的行动元核心时指出，故事并非静止的原典，而是一团包含所有变体的"故事云"，每次讲述都改变它的形状①。既然故事是流动的，呈现故事的可视化为什么凝固成了一套西式的界面语法？Drucker 十多年前就提醒过人文学者：界面不是中立容器，从网格到坐标系，每个图形惯例背后都有认识论假设②。妖怪谱系被画成标准饼图时，可视化在"转译"文本，也在"规训"文本。</w:t>
      </w:r>
    </w:p>
    <w:p>
      <w:pPr>
        <w:spacing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本文想回答的问题很直接：古典文学的数据可视化是否必然西化？能否有一套从母题内部长出来的本土设计系统？回答依托一项具体的实践——一个以《西游记》为对象的数字人文可视化项目：100 回逐回解读、615 篇文档、86 个交互可视化页③。"新中式·数字雅集"设计系统即在这 86 页的生产过程中逐渐成形。本文论证的重点不在 86 页的视觉品质，而在系统的可复制性——本土美学被写进了设计令牌、动效规范和验证门禁，它因此是可迁移的方法论，而非一次偶然的成功。</w:t>
      </w:r>
    </w:p>
    <w:p>
      <w:pPr>
        <w:pStyle w:val="Heading1"/>
        <w:spacing w:after="200" w:before="360" w:line="360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2 现状：三条路线与一个盲区</w:t>
      </w:r>
    </w:p>
    <w:p>
      <w:pPr>
        <w:spacing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要看清问题，得先看同行在做什么。近十年，古典文学的数字人文可视化大致走出三条路线。</w:t>
      </w:r>
    </w:p>
    <w:p>
      <w:pPr>
        <w:spacing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第一条是文学地图。Cooper 与 Gregory 把文学空间叠到真实地理上，提出"文学 GIS"④；Bushell 等人更进一步，区分了以真实世界为底图的 GIS 制图和以文本内部关系为对象的"拓扑制图"，主张文学地图应逼近巴赫金的"时空体"而非单纯地理再现⑤。国内最醒目的成果是华东师范大学的《西游记》文学探索地图——2023 年 CaGIS 学生组 Arthur Robinson 荣誉提名奖，以唐代疆域为底图标注取经路线与关键事件⑥。不过其产品形态多为单幅地图，视觉决策服务于单图叙事，谈不上可复用的系统。</w:t>
      </w:r>
    </w:p>
    <w:p>
      <w:pPr>
        <w:spacing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第二条是文本图谱。史卓等人用共词分析、知识图谱加故事线可视化"激流三部曲"⑦，赵薇用社会网络分析《大波》⑧。这一路把文本变成了图，但视觉决策由图论布局算法主导，美学服从算法可读性，与文本文化属性关系不大。</w:t>
      </w:r>
    </w:p>
    <w:p>
      <w:pPr>
        <w:spacing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第三条是文化遗产可视化。Windhager 等的综述显示，该领域已从"搜索与网格"走到丰富的交互形态，但对象主要是博物馆藏品⑨；Trocchianesi 与 Bollini 从设计学立场呼吁设计与数字人文建立协作模型，不要停留在"为数据开发工具"⑩。</w:t>
      </w:r>
    </w:p>
    <w:p>
      <w:pPr>
        <w:spacing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三条路线各走各的，盲区却相同：没有人把中国古典文学的可视化当作设计问题来对待。水墨、书法这类中式视觉资源的借用散见于设计实践，但多是单件作品的装饰选择。地图画出了空间，图谱画出了结构，而宣纸与墨、留白与点醒、克制的动效、可及的交互——这些属于母题自身的视觉语言——还没有被组织成令牌、规范与组件层面的系统。国内"西游学"对作者、版本与思想史的梳理已经相当系统[5]，国际的西游数字人文则集中在翻译与接受⑪⑫。</w:t>
      </w:r>
    </w:p>
    <w:p>
      <w:pPr>
        <w:spacing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落到本文的问题，"仪表盘化"可拆成三条症候：视觉语言与文本母题脱节，蓝紫色系与灰度网格承自功能主义设计传统[3]；动效与交互没有文化语义，也缺少规范约束；可及性治理缺位，被当作发布前的修补。三条症候的根子是同一个——设计系统缺位。由此提出三个问题：令牌架构如何从母题生长（RQ1），动效与可及性如何写成可验证的规范（RQ2），这套系统能否在 86 页规模上复制（RQ3）。</w:t>
      </w:r>
    </w:p>
    <w:p>
      <w:pPr>
        <w:pStyle w:val="Heading1"/>
        <w:spacing w:after="200" w:before="360" w:line="360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3 令牌架构：从文化母题到设计变量</w:t>
      </w:r>
    </w:p>
    <w:p>
      <w:pPr>
        <w:spacing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RQ1 先要回答"令牌从何而来"。做法可以概括成一句话：把文学母题转译成设计变量（图 1）——先识别母题中视觉辨识度最高的文化元素，再赋予它们系统的、可复用的语义角色。从《西游记》提取的三个核心色相是宣纸底、墨文、朱砂点醒，分别对应叙事的静、文、动三层：安静的天庭与暴烈的大闹天宫、绵长的取经路与陡起的劫难[2]，恰好能由这三层的对比来编码。</w:t>
      </w:r>
    </w:p>
    <w:p>
      <w:pPr>
        <w:spacing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这层转译有学理依据。视觉秩序感本是审美知觉的基础变量[1]；水墨画的"视觉秩序"已被证明可以测量，构图复杂性与留白比例显著影响观众评分⑬；跨文化的 fMRI 研究也显示，观众对自身文化传统的绘画存在内隐偏好⑭。从母题提取的变量不止"像"母题，认知上也更易被目标受众接受——这为"新中式"界面提供了超出风格喜好的依据。</w:t>
      </w:r>
    </w:p>
    <w:p>
      <w:pPr>
        <w:spacing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系统以"数字雅集"为名，取的是雅集的"聚观"意涵：文人雅集以诗、书、画、印同场共赏，价值不在单件孤品，而在诸艺同席的整一气象。落到界面上，是 86 幅可视化、615 篇解读与站内对话入口共用同一组令牌组件；读者游观、检索、问答，如入一场持续展开的雅集。具体实现落在 tokens.css 的三组令牌上（表 1）。</w:t>
      </w:r>
    </w:p>
    <w:p>
      <w:pPr>
        <w:keepNext/>
        <w:spacing w:after="80" w:before="200" w:line="360"/>
        <w:jc w:val="center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表 1　纸墨朱三元核心令牌</w:t>
      </w:r>
    </w:p>
    <w:tbl>
      <w:tblPr>
        <w:tblW w:type="pct" w:w="100%"/>
        <w:tblBorders>
          <w:top w:val="single" w:color="000000" w:sz="4"/>
          <w:left w:val="none"/>
          <w:bottom w:val="single" w:color="000000" w:sz="4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5%"/>
            <w:tcBorders>
              <w:top w:val="none"/>
              <w:left w:val="none"/>
              <w:bottom w:val="single" w:color="000000" w:sz="2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文化层</w:t>
            </w:r>
          </w:p>
        </w:tc>
        <w:tc>
          <w:tcPr>
            <w:tcW w:type="pct" w:w="30%"/>
            <w:tcBorders>
              <w:top w:val="none"/>
              <w:left w:val="none"/>
              <w:bottom w:val="single" w:color="000000" w:sz="2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令牌</w:t>
            </w:r>
          </w:p>
        </w:tc>
        <w:tc>
          <w:tcPr>
            <w:tcW w:type="pct" w:w="29%"/>
            <w:tcBorders>
              <w:top w:val="none"/>
              <w:left w:val="none"/>
              <w:bottom w:val="single" w:color="000000" w:sz="2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值</w:t>
            </w:r>
          </w:p>
        </w:tc>
        <w:tc>
          <w:tcPr>
            <w:tcW w:type="pct" w:w="26%"/>
            <w:tcBorders>
              <w:top w:val="none"/>
              <w:left w:val="none"/>
              <w:bottom w:val="single" w:color="000000" w:sz="2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语义角色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纸（底）</w:t>
            </w:r>
          </w:p>
        </w:tc>
        <w:tc>
          <w:tcPr>
            <w:tcW w:type="pct" w:w="30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--bg</w:t>
            </w:r>
          </w:p>
        </w:tc>
        <w:tc>
          <w:tcPr>
            <w:tcW w:type="pct" w:w="29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#FAF7F0</w:t>
            </w:r>
          </w:p>
        </w:tc>
        <w:tc>
          <w:tcPr>
            <w:tcW w:type="pct" w:w="26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宣纸暖白，非纯白降眩光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墨（骨）</w:t>
            </w:r>
          </w:p>
        </w:tc>
        <w:tc>
          <w:tcPr>
            <w:tcW w:type="pct" w:w="30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--ink</w:t>
            </w:r>
          </w:p>
        </w:tc>
        <w:tc>
          <w:tcPr>
            <w:tcW w:type="pct" w:w="29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#23201A</w:t>
            </w:r>
          </w:p>
        </w:tc>
        <w:tc>
          <w:tcPr>
            <w:tcW w:type="pct" w:w="26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主文字，非纯黑避"死黑"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墨（三级）</w:t>
            </w:r>
          </w:p>
        </w:tc>
        <w:tc>
          <w:tcPr>
            <w:tcW w:type="pct" w:w="30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--ink-soft / --ink-faint</w:t>
            </w:r>
          </w:p>
        </w:tc>
        <w:tc>
          <w:tcPr>
            <w:tcW w:type="pct" w:w="29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#6B6455 / #9A9280</w:t>
            </w:r>
          </w:p>
        </w:tc>
        <w:tc>
          <w:tcPr>
            <w:tcW w:type="pct" w:w="26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次级/三级文字灰度阶梯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醒（眼）</w:t>
            </w:r>
          </w:p>
        </w:tc>
        <w:tc>
          <w:tcPr>
            <w:tcW w:type="pct" w:w="30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--accent</w:t>
            </w:r>
          </w:p>
        </w:tc>
        <w:tc>
          <w:tcPr>
            <w:tcW w:type="pct" w:w="29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#C8463A</w:t>
            </w:r>
          </w:p>
        </w:tc>
        <w:tc>
          <w:tcPr>
            <w:tcW w:type="pct" w:w="26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朱砂，全站唯一彩色强调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醒（第二系）</w:t>
            </w:r>
          </w:p>
        </w:tc>
        <w:tc>
          <w:tcPr>
            <w:tcW w:type="pct" w:w="30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--accent-2</w:t>
            </w:r>
          </w:p>
        </w:tc>
        <w:tc>
          <w:tcPr>
            <w:tcW w:type="pct" w:w="29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#3A6B8C</w:t>
            </w:r>
          </w:p>
        </w:tc>
        <w:tc>
          <w:tcPr>
            <w:tcW w:type="pct" w:w="26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靛蓝，链接与数据 meta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醒（反派）</w:t>
            </w:r>
          </w:p>
        </w:tc>
        <w:tc>
          <w:tcPr>
            <w:tcW w:type="pct" w:w="30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--rebel</w:t>
            </w:r>
          </w:p>
        </w:tc>
        <w:tc>
          <w:tcPr>
            <w:tcW w:type="pct" w:w="29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#8C2A2A</w:t>
            </w:r>
          </w:p>
        </w:tc>
        <w:tc>
          <w:tcPr>
            <w:tcW w:type="pct" w:w="26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暗朱红，反派/警示</w:t>
            </w:r>
          </w:p>
        </w:tc>
      </w:tr>
    </w:tbl>
    <w:p>
      <w:pPr>
        <w:spacing w:after="120" w:line="360"/>
      </w:pPr>
    </w:p>
    <w:p>
      <w:pPr>
        <w:spacing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关键的决策是朱砂为全站唯一彩色强调——只留一个彩色通道，强调信息才不会被多色竞争稀释。反派色复用朱砂色相并压低明度，正邪对立因此呈现为同一色相的明暗两极，而不是另起一套色系。</w:t>
      </w:r>
    </w:p>
    <w:p>
      <w:pPr>
        <w:spacing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令牌解决"对不对"，三层模型解决"漂不漂移"（图 2）。tokens.css 只声明变量，system.css 只消费变量，233 个页面各自内联覆盖图表样式，改一处，全站同步。夜读模式验证了扩展性：同一组令牌换一组取值（宣纸换玄墨、墨换宣纸字、朱砂提亮），页面代码零改动。</w:t>
      </w:r>
    </w:p>
    <w:p>
      <w:pPr>
        <w:spacing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文化语义之外，还有数据编码的约束。图表使用一套六色"雅集系列色板"（表 2），全部取自水墨矿物色族，多系列并置仍然统一；语义色与系列色相互错开。最见功夫的用例是八十一难难度热力图（详见案例二）：难度 1-10 映射为"米白→暗朱"五级色阶而非通用红绿渐变——五个锚点明度单调递减，色弱读者靠明度即可区分，色相又不脱离矿物色族，与文本气质一致。</w:t>
      </w:r>
    </w:p>
    <w:p>
      <w:pPr>
        <w:keepNext/>
        <w:spacing w:after="80" w:before="200" w:line="360"/>
        <w:jc w:val="center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表 2　雅集系列色板（--chart-1 至 --chart-6）</w:t>
      </w:r>
    </w:p>
    <w:tbl>
      <w:tblPr>
        <w:tblW w:type="pct" w:w="100%"/>
        <w:tblBorders>
          <w:top w:val="single" w:color="000000" w:sz="4"/>
          <w:left w:val="none"/>
          <w:bottom w:val="single" w:color="000000" w:sz="4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4%"/>
            <w:tcBorders>
              <w:top w:val="none"/>
              <w:left w:val="none"/>
              <w:bottom w:val="single" w:color="000000" w:sz="2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令牌</w:t>
            </w:r>
          </w:p>
        </w:tc>
        <w:tc>
          <w:tcPr>
            <w:tcW w:type="pct" w:w="22%"/>
            <w:tcBorders>
              <w:top w:val="none"/>
              <w:left w:val="none"/>
              <w:bottom w:val="single" w:color="000000" w:sz="2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色名</w:t>
            </w:r>
          </w:p>
        </w:tc>
        <w:tc>
          <w:tcPr>
            <w:tcW w:type="pct" w:w="44%"/>
            <w:tcBorders>
              <w:top w:val="none"/>
              <w:left w:val="none"/>
              <w:bottom w:val="single" w:color="000000" w:sz="2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值</w:t>
            </w:r>
          </w:p>
        </w:tc>
      </w:tr>
      <w:tr>
        <w:trPr>
          <w:cantSplit/>
        </w:trPr>
        <w:tc>
          <w:tcPr>
            <w:tcW w:type="pct" w:w="34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--chart-1</w:t>
            </w:r>
          </w:p>
        </w:tc>
        <w:tc>
          <w:tcPr>
            <w:tcW w:type="pct" w:w="22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朱砂</w:t>
            </w:r>
          </w:p>
        </w:tc>
        <w:tc>
          <w:tcPr>
            <w:tcW w:type="pct" w:w="44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#C8463A</w:t>
            </w:r>
          </w:p>
        </w:tc>
      </w:tr>
      <w:tr>
        <w:trPr>
          <w:cantSplit/>
        </w:trPr>
        <w:tc>
          <w:tcPr>
            <w:tcW w:type="pct" w:w="34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--chart-2</w:t>
            </w:r>
          </w:p>
        </w:tc>
        <w:tc>
          <w:tcPr>
            <w:tcW w:type="pct" w:w="22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靛蓝</w:t>
            </w:r>
          </w:p>
        </w:tc>
        <w:tc>
          <w:tcPr>
            <w:tcW w:type="pct" w:w="44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#3A6B8C</w:t>
            </w:r>
          </w:p>
        </w:tc>
      </w:tr>
      <w:tr>
        <w:trPr>
          <w:cantSplit/>
        </w:trPr>
        <w:tc>
          <w:tcPr>
            <w:tcW w:type="pct" w:w="34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--chart-3</w:t>
            </w:r>
          </w:p>
        </w:tc>
        <w:tc>
          <w:tcPr>
            <w:tcW w:type="pct" w:w="22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赭金</w:t>
            </w:r>
          </w:p>
        </w:tc>
        <w:tc>
          <w:tcPr>
            <w:tcW w:type="pct" w:w="44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#C9A063</w:t>
            </w:r>
          </w:p>
        </w:tc>
      </w:tr>
      <w:tr>
        <w:trPr>
          <w:cantSplit/>
        </w:trPr>
        <w:tc>
          <w:tcPr>
            <w:tcW w:type="pct" w:w="34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--chart-4</w:t>
            </w:r>
          </w:p>
        </w:tc>
        <w:tc>
          <w:tcPr>
            <w:tcW w:type="pct" w:w="22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苔绿</w:t>
            </w:r>
          </w:p>
        </w:tc>
        <w:tc>
          <w:tcPr>
            <w:tcW w:type="pct" w:w="44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#6B8E5A</w:t>
            </w:r>
          </w:p>
        </w:tc>
      </w:tr>
      <w:tr>
        <w:trPr>
          <w:cantSplit/>
        </w:trPr>
        <w:tc>
          <w:tcPr>
            <w:tcW w:type="pct" w:w="34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--chart-5</w:t>
            </w:r>
          </w:p>
        </w:tc>
        <w:tc>
          <w:tcPr>
            <w:tcW w:type="pct" w:w="22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米灰</w:t>
            </w:r>
          </w:p>
        </w:tc>
        <w:tc>
          <w:tcPr>
            <w:tcW w:type="pct" w:w="44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#D8CFBC</w:t>
            </w:r>
          </w:p>
        </w:tc>
      </w:tr>
      <w:tr>
        <w:trPr>
          <w:cantSplit/>
        </w:trPr>
        <w:tc>
          <w:tcPr>
            <w:tcW w:type="pct" w:w="34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--chart-6</w:t>
            </w:r>
          </w:p>
        </w:tc>
        <w:tc>
          <w:tcPr>
            <w:tcW w:type="pct" w:w="22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赭石（备用系列）</w:t>
            </w:r>
          </w:p>
        </w:tc>
        <w:tc>
          <w:tcPr>
            <w:tcW w:type="pct" w:w="44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#8A6D3B</w:t>
            </w:r>
          </w:p>
        </w:tc>
      </w:tr>
    </w:tbl>
    <w:p>
      <w:pPr>
        <w:spacing w:after="120" w:line="360"/>
      </w:pPr>
    </w:p>
    <w:p>
      <w:pPr>
        <w:keepNext/>
        <w:spacing w:before="200" w:line="360"/>
        <w:jc w:val="center"/>
      </w:pPr>
      <w:r>
        <w:drawing>
          <wp:inline distT="0" distB="0" distL="0" distR="0">
            <wp:extent cx="5143500" cy="1981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60"/>
        <w:jc w:val="center"/>
      </w:pPr>
      <w:r>
        <w:rPr>
          <w:rFonts w:ascii="Times New Roman" w:eastAsia="SimSun"/>
          <w:color w:val="000000"/>
          <w:sz w:val="21"/>
          <w:szCs w:val="21"/>
        </w:rPr>
        <w:t xml:space="preserve">图 1　文化母题→设计令牌转译流程（来源：作者自绘）</w:t>
      </w:r>
    </w:p>
    <w:p>
      <w:pPr>
        <w:keepNext/>
        <w:spacing w:before="200" w:line="360"/>
        <w:jc w:val="center"/>
      </w:pPr>
      <w:r>
        <w:drawing>
          <wp:inline distT="0" distB="0" distL="0" distR="0">
            <wp:extent cx="409575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60"/>
        <w:jc w:val="center"/>
      </w:pPr>
      <w:r>
        <w:rPr>
          <w:rFonts w:ascii="Times New Roman" w:eastAsia="SimSun"/>
          <w:color w:val="000000"/>
          <w:sz w:val="21"/>
          <w:szCs w:val="21"/>
        </w:rPr>
        <w:t xml:space="preserve">图 2　令牌架构三层模型（来源：作者自绘）</w:t>
      </w:r>
    </w:p>
    <w:p>
      <w:pPr>
        <w:pStyle w:val="Heading1"/>
        <w:spacing w:after="200" w:before="360" w:line="360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4 动效契约：克制的动效是可执行规范</w:t>
      </w:r>
    </w:p>
    <w:p>
      <w:pPr>
        <w:spacing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动效在多数项目里处于两个极端：要么全然缺席，页面僵硬；要么堆满弹跳与无限循环的光晕，沦为炫技。共同原因是缺乏明文规范——没有时长分级、缓动约定，也没有对"减弱动态"用户的兜底。本文把动效写成一份三件套契约：时长三档、缓动三系、双守卫。它不留在设计师的口头禅里，而写进 tokens.css 与 system.css 的全局规则，因此可被引用、被脚本校验、被第三方复核。</w:t>
      </w:r>
    </w:p>
    <w:p>
      <w:pPr>
        <w:spacing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时长收敛为三档：150ms 给即时反馈（按压、hover），250ms 给状态变化（卡片浮起、tooltip），500ms 给叙事性入场（图表、区块显现）。原则是快反馈、缓叙事，契约之外不设第四档。缓动定了三条曲线，并明文弃用裸 ease，取值见表 3。</w:t>
      </w:r>
    </w:p>
    <w:p>
      <w:pPr>
        <w:keepNext/>
        <w:spacing w:after="80" w:before="200" w:line="360"/>
        <w:jc w:val="center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表 3　动效契约</w:t>
      </w:r>
    </w:p>
    <w:tbl>
      <w:tblPr>
        <w:tblW w:type="pct" w:w="100%"/>
        <w:tblBorders>
          <w:top w:val="single" w:color="000000" w:sz="4"/>
          <w:left w:val="none"/>
          <w:bottom w:val="single" w:color="000000" w:sz="4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5%"/>
            <w:tcBorders>
              <w:top w:val="none"/>
              <w:left w:val="none"/>
              <w:bottom w:val="single" w:color="000000" w:sz="2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type="pct" w:w="30%"/>
            <w:tcBorders>
              <w:top w:val="none"/>
              <w:left w:val="none"/>
              <w:bottom w:val="single" w:color="000000" w:sz="2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令牌/机制</w:t>
            </w:r>
          </w:p>
        </w:tc>
        <w:tc>
          <w:tcPr>
            <w:tcW w:type="pct" w:w="29%"/>
            <w:tcBorders>
              <w:top w:val="none"/>
              <w:left w:val="none"/>
              <w:bottom w:val="single" w:color="000000" w:sz="2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取值</w:t>
            </w:r>
          </w:p>
        </w:tc>
        <w:tc>
          <w:tcPr>
            <w:tcW w:type="pct" w:w="26%"/>
            <w:tcBorders>
              <w:top w:val="none"/>
              <w:left w:val="none"/>
              <w:bottom w:val="single" w:color="000000" w:sz="2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即时反馈</w:t>
            </w:r>
          </w:p>
        </w:tc>
        <w:tc>
          <w:tcPr>
            <w:tcW w:type="pct" w:w="30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--dur-fast</w:t>
            </w:r>
          </w:p>
        </w:tc>
        <w:tc>
          <w:tcPr>
            <w:tcW w:type="pct" w:w="29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150ms</w:t>
            </w:r>
          </w:p>
        </w:tc>
        <w:tc>
          <w:tcPr>
            <w:tcW w:type="pct" w:w="26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按压、hover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状态变化</w:t>
            </w:r>
          </w:p>
        </w:tc>
        <w:tc>
          <w:tcPr>
            <w:tcW w:type="pct" w:w="30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--dur-base</w:t>
            </w:r>
          </w:p>
        </w:tc>
        <w:tc>
          <w:tcPr>
            <w:tcW w:type="pct" w:w="29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250ms</w:t>
            </w:r>
          </w:p>
        </w:tc>
        <w:tc>
          <w:tcPr>
            <w:tcW w:type="pct" w:w="26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卡片浮起、tooltip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叙事过渡</w:t>
            </w:r>
          </w:p>
        </w:tc>
        <w:tc>
          <w:tcPr>
            <w:tcW w:type="pct" w:w="30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--dur-slow</w:t>
            </w:r>
          </w:p>
        </w:tc>
        <w:tc>
          <w:tcPr>
            <w:tcW w:type="pct" w:w="29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500ms</w:t>
            </w:r>
          </w:p>
        </w:tc>
        <w:tc>
          <w:tcPr>
            <w:tcW w:type="pct" w:w="26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图表入场、区块 reveal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默认缓动</w:t>
            </w:r>
          </w:p>
        </w:tc>
        <w:tc>
          <w:tcPr>
            <w:tcW w:type="pct" w:w="30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--ease-out-quart</w:t>
            </w:r>
          </w:p>
        </w:tc>
        <w:tc>
          <w:tcPr>
            <w:tcW w:type="pct" w:w="29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cubic-bezier(0.25, 1, 0.5, 1)</w:t>
            </w:r>
          </w:p>
        </w:tc>
        <w:tc>
          <w:tcPr>
            <w:tcW w:type="pct" w:w="26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均匀精致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大位移入场</w:t>
            </w:r>
          </w:p>
        </w:tc>
        <w:tc>
          <w:tcPr>
            <w:tcW w:type="pct" w:w="30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--ease-out-expo</w:t>
            </w:r>
          </w:p>
        </w:tc>
        <w:tc>
          <w:tcPr>
            <w:tcW w:type="pct" w:w="29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cubic-bezier(0.16, 1, 0.3, 1)</w:t>
            </w:r>
          </w:p>
        </w:tc>
        <w:tc>
          <w:tcPr>
            <w:tcW w:type="pct" w:w="26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果断自信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展开收起</w:t>
            </w:r>
          </w:p>
        </w:tc>
        <w:tc>
          <w:tcPr>
            <w:tcW w:type="pct" w:w="30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--ease-in-out-soft</w:t>
            </w:r>
          </w:p>
        </w:tc>
        <w:tc>
          <w:tcPr>
            <w:tcW w:type="pct" w:w="29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cubic-bezier(0.65, 0, 0.35, 1)</w:t>
            </w:r>
          </w:p>
        </w:tc>
        <w:tc>
          <w:tcPr>
            <w:tcW w:type="pct" w:w="26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往返对称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白名单例外</w:t>
            </w:r>
          </w:p>
        </w:tc>
        <w:tc>
          <w:tcPr>
            <w:tcW w:type="pct" w:w="30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count-up（脚本级豁免·非令牌）</w:t>
            </w:r>
          </w:p>
        </w:tc>
        <w:tc>
          <w:tcPr>
            <w:tcW w:type="pct" w:w="29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900ms easeOutExpo</w:t>
            </w:r>
          </w:p>
        </w:tc>
        <w:tc>
          <w:tcPr>
            <w:tcW w:type="pct" w:w="26%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数字增长"宣告"型动效</w:t>
            </w:r>
          </w:p>
        </w:tc>
      </w:tr>
    </w:tbl>
    <w:p>
      <w:pPr>
        <w:spacing w:after="120" w:line="360"/>
      </w:pPr>
    </w:p>
    <w:p>
      <w:pPr>
        <w:spacing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契约允许例外，但例外必须登记。统计数字的 count-up 以 900ms 的 easeOutExpo 超出三档，被明文豁免为"白名单例外"——数字增长属于"宣告"型动效，需要更长的叙事时间与更果断的抵达感。没有登记制度，例外会逐渐吃掉契约本身。</w:t>
      </w:r>
    </w:p>
    <w:p>
      <w:pPr>
        <w:spacing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"减弱动态"偏好由两道守卫兜底。守卫一是 CSS：一条全局媒体查询把全站动画压缩至 0.01ms、循环降为 1、平滑滚动转 auto，图表级动画直接关闭，新页面零配合即受保护。守卫二是 JS：脚本以 matchMedia 检测该偏好——count-up 直接保持终值，滚动显现直达终态，D3 图表只播首帧。两道守卫同守一个容错原则：降级失败时保持终值可见，"不动"永远比"动一半"安全。</w:t>
      </w:r>
    </w:p>
    <w:p>
      <w:pPr>
        <w:spacing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动效为何而雅？入场取 500ms 的克制时长与均匀抵达的曲线，是"淡入如墨晕"，不是"弹入如果冻"。这层文化语义不靠玄学描述支撑——它被三档三系锚定，任何动画都能对照检验自己该属哪一档、该用哪条曲线。动效由此从装饰变回叙事。</w:t>
      </w:r>
    </w:p>
    <w:p>
      <w:pPr>
        <w:pStyle w:val="Heading1"/>
        <w:spacing w:after="200" w:before="360" w:line="360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5 案例深描：三种视觉编码形态下的系统复用性检验</w:t>
      </w:r>
    </w:p>
    <w:p>
      <w:pPr>
        <w:spacing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设计系统的成色不能靠自述，得看落地。这里选三个真实页面（图 3 至图 5）做深描，网络图、热力图、路线图各一，恰好覆盖节点、格子、路径三种视觉编码。</w:t>
      </w:r>
    </w:p>
    <w:p>
      <w:pPr>
        <w:spacing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先看人物语义网络。数据层把人物分进四个叙事集团（取经团队、神佛体系、妖怪、凡人），整份数据内嵌页面，不发网络请求。配色才是这一页真正的决策：四个集团分别用朱砂、靛蓝、褐、苔绿，全部取自雅集系列色板的同族色，而不是网络可视化默认的彩虹色，"势力"一眼可辨；次级分组只在集团色内调明度，不引入新色相。布局参数刻意收敛（alphaDecay 0.08、velocityDecay 0.5），避免力导向图长时间振荡。交互上，节点可拖拽，悬停高亮关联边，tooltip 复用全站统一样式。暗色主题下集团色经提亮滤波，键盘焦点样式全站一致。</w:t>
      </w:r>
    </w:p>
    <w:p>
      <w:pPr>
        <w:spacing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八十一难热力图信息密度更高：81 难、每难九个字段，难度、起因、结局、阶段一次编进去。难点在色阶。难度 1-10 映射为五级渐变（#f5e9d4→#e9b885→#d98060→#c8463a→#8c2a2a），从宣纸米白渐入暗朱，难愈深而色愈重。它不是把通用红绿热力图换个颜色，而是把难度编码进同一矿物色族的明暗深浅；末端落在暗朱红，与反派色同源。五个锚点明度单调递减，色弱读者靠明度即可区分，不必依赖色相。格子悬停出 tooltip，阶段过滤与起因图例支撑"哪一阶段的难更重"这类读图问题；tooltip 在窄视口收窄，其余适配见第 6 节。</w:t>
      </w:r>
    </w:p>
    <w:p>
      <w:pPr>
        <w:spacing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取经路线图回应的是文学地图。数据层采用 fetch 加外部 JSON、失败回退内嵌样例的双轨，与全站的fail-open 哲学一致。视觉上，路线不投在地理疆域上，而是以回目为时间轴、地点为节点，排成可阅读的叙事序列，收悟空、三打白骨精、取得真经成为节点注记——这正是 Bushell 等人"逼近文本内部时空关系"主张的落地⑤，也是对单幅获奖地图的"系统化"差异化。地点悬停出事件详情，类型筛选与地区高亮联动；节点用类型图标、色带、文字标签三重冗余编码，不单靠颜色。</w:t>
      </w:r>
    </w:p>
    <w:p>
      <w:pPr>
        <w:spacing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三个案例各验证一个侧面：叙事色覆盖算法图，文化色阶编码数值，数据层容错——合起来回答 RQ3 的前半，系统在 86 页规模的落地不是孤例。</w:t>
      </w:r>
    </w:p>
    <w:p>
      <w:pPr>
        <w:keepNext/>
        <w:spacing w:before="200" w:line="360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60"/>
        <w:jc w:val="center"/>
      </w:pPr>
      <w:r>
        <w:rPr>
          <w:rFonts w:ascii="Times New Roman" w:eastAsia="SimSun"/>
          <w:color w:val="000000"/>
          <w:sz w:val="21"/>
          <w:szCs w:val="21"/>
        </w:rPr>
        <w:t xml:space="preserve">图 3　人物语义网络页·浅色主题（来源：项目页面截图）</w:t>
      </w:r>
    </w:p>
    <w:p>
      <w:pPr>
        <w:keepNext/>
        <w:spacing w:before="200" w:line="360"/>
        <w:jc w:val="center"/>
      </w:pPr>
      <w:r>
        <w:drawing>
          <wp:inline distT="0" distB="0" distL="0" distR="0">
            <wp:extent cx="5143500" cy="1885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60"/>
        <w:jc w:val="center"/>
      </w:pPr>
      <w:r>
        <w:rPr>
          <w:rFonts w:ascii="Times New Roman" w:eastAsia="SimSun"/>
          <w:color w:val="000000"/>
          <w:sz w:val="21"/>
          <w:szCs w:val="21"/>
        </w:rPr>
        <w:t xml:space="preserve">图 4　八十一难难度热力图·浅色主题（来源：项目页面截图）</w:t>
      </w:r>
    </w:p>
    <w:p>
      <w:pPr>
        <w:keepNext/>
        <w:spacing w:before="200" w:line="360"/>
        <w:jc w:val="center"/>
      </w:pPr>
      <w:r>
        <w:drawing>
          <wp:inline distT="0" distB="0" distL="0" distR="0">
            <wp:extent cx="3219450" cy="762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360"/>
        <w:jc w:val="center"/>
      </w:pPr>
      <w:r>
        <w:rPr>
          <w:rFonts w:ascii="Times New Roman" w:eastAsia="SimSun"/>
          <w:color w:val="000000"/>
          <w:sz w:val="21"/>
          <w:szCs w:val="21"/>
        </w:rPr>
        <w:t xml:space="preserve">图 5　取经路线图·浅色主题（来源：项目页面截图）</w:t>
      </w:r>
    </w:p>
    <w:p>
      <w:pPr>
        <w:pStyle w:val="Heading1"/>
        <w:spacing w:after="200" w:before="360" w:line="360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6 可及性：作为设计问题的 WCAG 2.2 AA</w:t>
      </w:r>
    </w:p>
    <w:p>
      <w:pPr>
        <w:spacing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多数项目把可及性当作发布前的修补清单：跑一遍扫描，修掉报错，在文末写一句"已通过"。这种治理必然反复，因为系统本身不承载对比度与焦点规范，新页面一来，同类问题重新出现；它也只治表——红绿色盲在红绿渐变上看不见数据，不是扫描器能修的错，而是编码层面的设计错。本文把可及性重构成设计维度。</w:t>
      </w:r>
    </w:p>
    <w:p>
      <w:pPr>
        <w:spacing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对比度在令牌定义阶段即满足 WCAG 2.2 AA 阈值（正常文本 4.5:1、大文本与非文本 UI 3:1）⑮，而非事后校验。双主题是同一组令牌的两次求值，各自独立过 AA 线；theme-init.js 先读用户偏好、无则跟随系统，渲染前挂载以防闪烁，禁用 JS 时保持浅色。</w:t>
      </w:r>
    </w:p>
    <w:p>
      <w:pPr>
        <w:spacing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交互分三条通道治理。键盘通道全站统一 :focus-visible 朱砂描边，键盘可达元素都有明确焦点指示（WCAG 2.4.13）；悬停才出现的交互都要求键盘可达，拖拽提供键盘替代（WCAG 2.5.7）。触屏通道在 ≤640px 视口降级，图例纵排、tooltip 收窄，tap 替代 hover。读屏通道为图表 SVG 声明 role="img" 与 aria-labelledby，读屏得到的是结构化文字摘要，不是"一团图形"。三条通道共享同一套令牌组件，新页面不必重复设计。</w:t>
      </w:r>
    </w:p>
    <w:p>
      <w:pPr>
        <w:spacing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最后的防线是机器。自研的 a11y_audit.py 用 19 类自动检查覆盖 28 项 WCAG 2.2 相关准则，问题分级 P0-P3，P0 存在即 CI 失败——带阻断级可及性问题的页面进不了仓库。这套门禁经受过最大规模的检验：暗色主题的全站审计先发现 1590 处低对比文字（含审计器误判的假阳性），修正审计器后确立 318 处/44 页的诚实基线，再按"文字反白、离散色映射、连续色阶运行时提升"三个阶段治理，最终不可见文本归零。这段经历的价值不在数字，而在次序——先建立经复核的基线，再分阶段治理，最后靠持续运行的门禁防回归。</w:t>
      </w:r>
    </w:p>
    <w:p>
      <w:pPr>
        <w:pStyle w:val="Heading1"/>
        <w:spacing w:after="200" w:before="360" w:line="360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7 方法论：一源多形与可复制性</w:t>
      </w:r>
    </w:p>
    <w:p>
      <w:pPr>
        <w:spacing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RQ3 的完整问题是可复制性。单个页面可以做得精美，只有系统才能持久。可复制性靠三个支点。</w:t>
      </w:r>
    </w:p>
    <w:p>
      <w:pPr>
        <w:spacing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内容层是一源多形管线：615 篇 Markdown 文档转成 133 个维度的 JSON 数据，再渲染成 86 个可视化页。三级解耦——改文案不动数据视觉，改数值不动文案视觉，改样式不动内容数据。令牌三层模型、动效契约、a11y 门禁，分别是这条解耦原则在样式层、行为层、质量层的投影。86 页的规模说明，可复制性来自结构设计本身。</w:t>
      </w:r>
    </w:p>
    <w:p>
      <w:pPr>
        <w:spacing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工程层是零外域依赖。D3 v7、Three.js、子集化字体全部本地托管，不引用任何 CDN，file:// 协议双击即开。第三方拿到项目文件就能完整复现，运行时代码可逐行核验——一个作品要可复制，前提是它可核验。</w:t>
      </w:r>
    </w:p>
    <w:p>
      <w:pPr>
        <w:spacing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推广层是换母题。令牌层换掉色相即可——三国取青瓷、赤壁、玄铁，红楼取藕荷、黛青、胭脂，改一处三层跟随；动效、可及性、管线三层不换。"新中式"由此从《西游记》的专有风格，变成面向中国古典文学的通用设计方法[4]。</w:t>
      </w:r>
    </w:p>
    <w:p>
      <w:pPr>
        <w:pStyle w:val="Heading1"/>
        <w:spacing w:after="200" w:before="360" w:line="360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8 结语</w:t>
      </w:r>
    </w:p>
    <w:p>
      <w:pPr>
        <w:spacing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回到开头的问题：可视化是否必然西化？不必，但有一个条件——做成设计系统，而非单幅作品。Trocchianesi 与 Bollini 早已呼吁设计与数字人文建立协作模型⑩，Windhager 等的综述也展示了文化遗产可视化走向丰富形态的趋势⑨。本文把这两条线索合流：以设计系统的方式进入数字人文，让本土美学成为可视化语法的一种合法选择——不是放弃数据可视化的通用认知基础，而是在其上叠加一层文化语义。</w:t>
      </w:r>
    </w:p>
    <w:p>
      <w:pPr>
        <w:spacing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局限也要说清楚。86 页的规模虽大，三国、红楼的迁移路径还没有真实施作，仍是方法论主张；暗色治理的经验数据来自单一项目，普遍性有待检验。届时，"新中式·数字雅集"有望从一套设计系统，长成古典文学数字人文研究复用的设计方法论。</w:t>
      </w:r>
    </w:p>
    <w:p>
      <w:pPr>
        <w:pStyle w:val="Heading1"/>
        <w:spacing w:after="200" w:before="360" w:line="360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注释</w:t>
      </w:r>
    </w:p>
    <w:p>
      <w:pPr>
        <w:spacing w:line="360"/>
        <w:ind w:left="420" w:hanging="420"/>
        <w:jc w:val="both"/>
      </w:pPr>
      <w:r>
        <w:rPr>
          <w:rFonts w:ascii="Times New Roman" w:eastAsia="SimSun"/>
          <w:color w:val="000000"/>
          <w:sz w:val="21"/>
          <w:szCs w:val="21"/>
        </w:rPr>
        <w:t xml:space="preserve">① Wall B, Lee D M. Stability in Variation: Visualizing the Actantial Core of </w:t>
      </w:r>
      <w:r>
        <w:rPr>
          <w:rFonts w:ascii="Times New Roman" w:eastAsia="SimSun"/>
          <w:i/>
          <w:iCs/>
          <w:color w:val="000000"/>
          <w:sz w:val="21"/>
          <w:szCs w:val="21"/>
        </w:rPr>
        <w:t xml:space="preserve">The Journey to the West</w:t>
      </w:r>
      <w:r>
        <w:rPr>
          <w:rFonts w:ascii="Times New Roman" w:eastAsia="SimSun"/>
          <w:color w:val="000000"/>
          <w:sz w:val="21"/>
          <w:szCs w:val="21"/>
        </w:rPr>
        <w:t xml:space="preserve">[J]. </w:t>
      </w:r>
      <w:r>
        <w:rPr>
          <w:rFonts w:ascii="Times New Roman" w:eastAsia="SimSun"/>
          <w:i/>
          <w:iCs/>
          <w:color w:val="000000"/>
          <w:sz w:val="21"/>
          <w:szCs w:val="21"/>
        </w:rPr>
        <w:t xml:space="preserve">Korean Studies</w:t>
      </w:r>
      <w:r>
        <w:rPr>
          <w:rFonts w:ascii="Times New Roman" w:eastAsia="SimSun"/>
          <w:color w:val="000000"/>
          <w:sz w:val="21"/>
          <w:szCs w:val="21"/>
        </w:rPr>
        <w:t xml:space="preserve">, 2023, 47(1): 117-144.</w:t>
      </w:r>
    </w:p>
    <w:p>
      <w:pPr>
        <w:spacing w:line="360"/>
        <w:ind w:left="420" w:hanging="420"/>
        <w:jc w:val="both"/>
      </w:pPr>
      <w:r>
        <w:rPr>
          <w:rFonts w:ascii="Times New Roman" w:eastAsia="SimSun"/>
          <w:color w:val="000000"/>
          <w:sz w:val="21"/>
          <w:szCs w:val="21"/>
        </w:rPr>
        <w:t xml:space="preserve">② Drucker J. Humanities Approaches to Graphical Display[J]. </w:t>
      </w:r>
      <w:r>
        <w:rPr>
          <w:rFonts w:ascii="Times New Roman" w:eastAsia="SimSun"/>
          <w:i/>
          <w:iCs/>
          <w:color w:val="000000"/>
          <w:sz w:val="21"/>
          <w:szCs w:val="21"/>
        </w:rPr>
        <w:t xml:space="preserve">Digital Humanities Quarterly</w:t>
      </w:r>
      <w:r>
        <w:rPr>
          <w:rFonts w:ascii="Times New Roman" w:eastAsia="SimSun"/>
          <w:color w:val="000000"/>
          <w:sz w:val="21"/>
          <w:szCs w:val="21"/>
        </w:rPr>
        <w:t xml:space="preserve">, 2011, 5(1).</w:t>
      </w:r>
    </w:p>
    <w:p>
      <w:pPr>
        <w:spacing w:line="360"/>
        <w:ind w:left="420" w:hanging="420"/>
        <w:jc w:val="both"/>
      </w:pPr>
      <w:r>
        <w:rPr>
          <w:rFonts w:ascii="Times New Roman" w:eastAsia="SimSun"/>
          <w:color w:val="000000"/>
          <w:sz w:val="21"/>
          <w:szCs w:val="21"/>
        </w:rPr>
        <w:t xml:space="preserve">③ 佚名：以《西游记》为对象的数字人文可视化项目[EB/OL]（匿名：项目信息投稿时随作者信息一并提供）。</w:t>
      </w:r>
    </w:p>
    <w:p>
      <w:pPr>
        <w:spacing w:line="360"/>
        <w:ind w:left="420" w:hanging="420"/>
        <w:jc w:val="both"/>
      </w:pPr>
      <w:r>
        <w:rPr>
          <w:rFonts w:ascii="Times New Roman" w:eastAsia="SimSun"/>
          <w:color w:val="000000"/>
          <w:sz w:val="21"/>
          <w:szCs w:val="21"/>
        </w:rPr>
        <w:t xml:space="preserve">④ Cooper D, Gregory I. Mapping the English Lake District: a literary GIS[J]. </w:t>
      </w:r>
      <w:r>
        <w:rPr>
          <w:rFonts w:ascii="Times New Roman" w:eastAsia="SimSun"/>
          <w:i/>
          <w:iCs/>
          <w:color w:val="000000"/>
          <w:sz w:val="21"/>
          <w:szCs w:val="21"/>
        </w:rPr>
        <w:t xml:space="preserve">Transactions of the Institute of British Geographers</w:t>
      </w:r>
      <w:r>
        <w:rPr>
          <w:rFonts w:ascii="Times New Roman" w:eastAsia="SimSun"/>
          <w:color w:val="000000"/>
          <w:sz w:val="21"/>
          <w:szCs w:val="21"/>
        </w:rPr>
        <w:t xml:space="preserve">, 2010, 36(1): 89-108.</w:t>
      </w:r>
    </w:p>
    <w:p>
      <w:pPr>
        <w:spacing w:line="360"/>
        <w:ind w:left="420" w:hanging="420"/>
        <w:jc w:val="both"/>
      </w:pPr>
      <w:r>
        <w:rPr>
          <w:rFonts w:ascii="Times New Roman" w:eastAsia="SimSun"/>
          <w:color w:val="000000"/>
          <w:sz w:val="21"/>
          <w:szCs w:val="21"/>
        </w:rPr>
        <w:t xml:space="preserve">⑤ Bushell S, Butler J O, Hay D, et al. Digital Literary Mapping: I. Visualizing and Reading Graph Topologies as Maps for Literature[J]. </w:t>
      </w:r>
      <w:r>
        <w:rPr>
          <w:rFonts w:ascii="Times New Roman" w:eastAsia="SimSun"/>
          <w:i/>
          <w:iCs/>
          <w:color w:val="000000"/>
          <w:sz w:val="21"/>
          <w:szCs w:val="21"/>
        </w:rPr>
        <w:t xml:space="preserve">Cartographica</w:t>
      </w:r>
      <w:r>
        <w:rPr>
          <w:rFonts w:ascii="Times New Roman" w:eastAsia="SimSun"/>
          <w:color w:val="000000"/>
          <w:sz w:val="21"/>
          <w:szCs w:val="21"/>
        </w:rPr>
        <w:t xml:space="preserve">, 2022, 57(1): 11-36.</w:t>
      </w:r>
    </w:p>
    <w:p>
      <w:pPr>
        <w:spacing w:line="360"/>
        <w:ind w:left="420" w:hanging="420"/>
        <w:jc w:val="both"/>
      </w:pPr>
      <w:r>
        <w:rPr>
          <w:rFonts w:ascii="Times New Roman" w:eastAsia="SimSun"/>
          <w:color w:val="000000"/>
          <w:sz w:val="21"/>
          <w:szCs w:val="21"/>
        </w:rPr>
        <w:t xml:space="preserve">⑥ 华东师范大学地理科学学院：《西游记》文学探索地图[EB/OL]，2023 CaGIS 年度地图设计大赛学生组 Arthur Robinson 荣誉提名奖，https://geo.ecnu.edu.cn，2026-09-23 引用。</w:t>
      </w:r>
    </w:p>
    <w:p>
      <w:pPr>
        <w:spacing w:line="360"/>
        <w:ind w:left="420" w:hanging="420"/>
        <w:jc w:val="both"/>
      </w:pPr>
      <w:r>
        <w:rPr>
          <w:rFonts w:ascii="Times New Roman" w:eastAsia="SimSun"/>
          <w:color w:val="000000"/>
          <w:sz w:val="21"/>
          <w:szCs w:val="21"/>
        </w:rPr>
        <w:t xml:space="preserve">⑦ 史卓、王萌、曾树珍等：《基于知识图谱的文学叙事可视化研究》[J]，《中国科技论文》，2023年第18卷第11期，第1230-1235、1243页。</w:t>
      </w:r>
    </w:p>
    <w:p>
      <w:pPr>
        <w:spacing w:line="360"/>
        <w:ind w:left="420" w:hanging="420"/>
        <w:jc w:val="both"/>
      </w:pPr>
      <w:r>
        <w:rPr>
          <w:rFonts w:ascii="Times New Roman" w:eastAsia="SimSun"/>
          <w:color w:val="000000"/>
          <w:sz w:val="21"/>
          <w:szCs w:val="21"/>
        </w:rPr>
        <w:t xml:space="preserve">⑧ 赵薇：《社会网络分析与"《大波》三部曲"的人物功能》[J]，《山东社会科学》，2018年第9期，第50-64页。</w:t>
      </w:r>
    </w:p>
    <w:p>
      <w:pPr>
        <w:spacing w:line="360"/>
        <w:ind w:left="420" w:hanging="420"/>
        <w:jc w:val="both"/>
      </w:pPr>
      <w:r>
        <w:rPr>
          <w:rFonts w:ascii="Times New Roman" w:eastAsia="SimSun"/>
          <w:color w:val="000000"/>
          <w:sz w:val="21"/>
          <w:szCs w:val="21"/>
        </w:rPr>
        <w:t xml:space="preserve">⑨ Windhager F, Federico P, Schreder G, et al. Visualization of Cultural Heritage Collection Data: State of the Art and Future Challenges[J]. </w:t>
      </w:r>
      <w:r>
        <w:rPr>
          <w:rFonts w:ascii="Times New Roman" w:eastAsia="SimSun"/>
          <w:i/>
          <w:iCs/>
          <w:color w:val="000000"/>
          <w:sz w:val="21"/>
          <w:szCs w:val="21"/>
        </w:rPr>
        <w:t xml:space="preserve">IEEE Transactions on Visualization and Computer Graphics</w:t>
      </w:r>
      <w:r>
        <w:rPr>
          <w:rFonts w:ascii="Times New Roman" w:eastAsia="SimSun"/>
          <w:color w:val="000000"/>
          <w:sz w:val="21"/>
          <w:szCs w:val="21"/>
        </w:rPr>
        <w:t xml:space="preserve">, 2018, 25(6): 2311-2330.</w:t>
      </w:r>
    </w:p>
    <w:p>
      <w:pPr>
        <w:spacing w:line="360"/>
        <w:ind w:left="420" w:hanging="420"/>
        <w:jc w:val="both"/>
      </w:pPr>
      <w:r>
        <w:rPr>
          <w:rFonts w:ascii="Times New Roman" w:eastAsia="SimSun"/>
          <w:color w:val="000000"/>
          <w:sz w:val="21"/>
          <w:szCs w:val="21"/>
        </w:rPr>
        <w:t xml:space="preserve">⑩ Trocchianesi R, Bollini L. Design, Digital Humanities, and Information Visualization for Cultural Heritage[J]. </w:t>
      </w:r>
      <w:r>
        <w:rPr>
          <w:rFonts w:ascii="Times New Roman" w:eastAsia="SimSun"/>
          <w:i/>
          <w:iCs/>
          <w:color w:val="000000"/>
          <w:sz w:val="21"/>
          <w:szCs w:val="21"/>
        </w:rPr>
        <w:t xml:space="preserve">Multimodal Technologies and Interaction</w:t>
      </w:r>
      <w:r>
        <w:rPr>
          <w:rFonts w:ascii="Times New Roman" w:eastAsia="SimSun"/>
          <w:color w:val="000000"/>
          <w:sz w:val="21"/>
          <w:szCs w:val="21"/>
        </w:rPr>
        <w:t xml:space="preserve">, 2023, 7(11): 102.</w:t>
      </w:r>
    </w:p>
    <w:p>
      <w:pPr>
        <w:spacing w:line="360"/>
        <w:ind w:left="420" w:hanging="420"/>
        <w:jc w:val="both"/>
      </w:pPr>
      <w:r>
        <w:rPr>
          <w:rFonts w:ascii="Times New Roman" w:eastAsia="SimSun"/>
          <w:color w:val="000000"/>
          <w:sz w:val="21"/>
          <w:szCs w:val="21"/>
        </w:rPr>
        <w:t xml:space="preserve">⑪ Jia N, Xin J, Wang Y. Overseas reception of English translations of </w:t>
      </w:r>
      <w:r>
        <w:rPr>
          <w:rFonts w:ascii="Times New Roman" w:eastAsia="SimSun"/>
          <w:i/>
          <w:iCs/>
          <w:color w:val="000000"/>
          <w:sz w:val="21"/>
          <w:szCs w:val="21"/>
        </w:rPr>
        <w:t xml:space="preserve">Journey to the West</w:t>
      </w:r>
      <w:r>
        <w:rPr>
          <w:rFonts w:ascii="Times New Roman" w:eastAsia="SimSun"/>
          <w:color w:val="000000"/>
          <w:sz w:val="21"/>
          <w:szCs w:val="21"/>
        </w:rPr>
        <w:t xml:space="preserve">: Temporal dynamics, cross-platform sentiment patterns, and topic modeling[J]. </w:t>
      </w:r>
      <w:r>
        <w:rPr>
          <w:rFonts w:ascii="Times New Roman" w:eastAsia="SimSun"/>
          <w:i/>
          <w:iCs/>
          <w:color w:val="000000"/>
          <w:sz w:val="21"/>
          <w:szCs w:val="21"/>
        </w:rPr>
        <w:t xml:space="preserve">PLOS ONE</w:t>
      </w:r>
      <w:r>
        <w:rPr>
          <w:rFonts w:ascii="Times New Roman" w:eastAsia="SimSun"/>
          <w:color w:val="000000"/>
          <w:sz w:val="21"/>
          <w:szCs w:val="21"/>
        </w:rPr>
        <w:t xml:space="preserve">, 2026, 21(4): e0347253.</w:t>
      </w:r>
    </w:p>
    <w:p>
      <w:pPr>
        <w:spacing w:line="360"/>
        <w:ind w:left="420" w:hanging="420"/>
        <w:jc w:val="both"/>
      </w:pPr>
      <w:r>
        <w:rPr>
          <w:rFonts w:ascii="Times New Roman" w:eastAsia="SimSun"/>
          <w:color w:val="000000"/>
          <w:sz w:val="21"/>
          <w:szCs w:val="21"/>
        </w:rPr>
        <w:t xml:space="preserve">⑫ Ping Y, Wang B. Retranslated Chinese classical canon </w:t>
      </w:r>
      <w:r>
        <w:rPr>
          <w:rFonts w:ascii="Times New Roman" w:eastAsia="SimSun"/>
          <w:i/>
          <w:iCs/>
          <w:color w:val="000000"/>
          <w:sz w:val="21"/>
          <w:szCs w:val="21"/>
        </w:rPr>
        <w:t xml:space="preserve">Journey to the West</w:t>
      </w:r>
      <w:r>
        <w:rPr>
          <w:rFonts w:ascii="Times New Roman" w:eastAsia="SimSun"/>
          <w:color w:val="000000"/>
          <w:sz w:val="21"/>
          <w:szCs w:val="21"/>
        </w:rPr>
        <w:t xml:space="preserve">: a stylometric comparison between Julia Lovell's retranslation and Arthur Waley's translation[J]. </w:t>
      </w:r>
      <w:r>
        <w:rPr>
          <w:rFonts w:ascii="Times New Roman" w:eastAsia="SimSun"/>
          <w:i/>
          <w:iCs/>
          <w:color w:val="000000"/>
          <w:sz w:val="21"/>
          <w:szCs w:val="21"/>
        </w:rPr>
        <w:t xml:space="preserve">Digital Scholarship in the Humanities</w:t>
      </w:r>
      <w:r>
        <w:rPr>
          <w:rFonts w:ascii="Times New Roman" w:eastAsia="SimSun"/>
          <w:color w:val="000000"/>
          <w:sz w:val="21"/>
          <w:szCs w:val="21"/>
        </w:rPr>
        <w:t xml:space="preserve">, 2024, 39(1): 308-320.</w:t>
      </w:r>
    </w:p>
    <w:p>
      <w:pPr>
        <w:spacing w:line="360"/>
        <w:ind w:left="420" w:hanging="420"/>
        <w:jc w:val="both"/>
      </w:pPr>
      <w:r>
        <w:rPr>
          <w:rFonts w:ascii="Times New Roman" w:eastAsia="SimSun"/>
          <w:color w:val="000000"/>
          <w:sz w:val="21"/>
          <w:szCs w:val="21"/>
        </w:rPr>
        <w:t xml:space="preserve">⑬ Fan Z B, Zhang K. Visual order of Chinese ink paintings[J]. </w:t>
      </w:r>
      <w:r>
        <w:rPr>
          <w:rFonts w:ascii="Times New Roman" w:eastAsia="SimSun"/>
          <w:i/>
          <w:iCs/>
          <w:color w:val="000000"/>
          <w:sz w:val="21"/>
          <w:szCs w:val="21"/>
        </w:rPr>
        <w:t xml:space="preserve">Visual Computing for Industry, Biomedicine, and Art</w:t>
      </w:r>
      <w:r>
        <w:rPr>
          <w:rFonts w:ascii="Times New Roman" w:eastAsia="SimSun"/>
          <w:color w:val="000000"/>
          <w:sz w:val="21"/>
          <w:szCs w:val="21"/>
        </w:rPr>
        <w:t xml:space="preserve">, 2020, 3(1): 23.</w:t>
      </w:r>
    </w:p>
    <w:p>
      <w:pPr>
        <w:spacing w:line="360"/>
        <w:ind w:left="420" w:hanging="420"/>
        <w:jc w:val="both"/>
      </w:pPr>
      <w:r>
        <w:rPr>
          <w:rFonts w:ascii="Times New Roman" w:eastAsia="SimSun"/>
          <w:color w:val="000000"/>
          <w:sz w:val="21"/>
          <w:szCs w:val="21"/>
        </w:rPr>
        <w:t xml:space="preserve">⑭ Yang T, Silveira S, Formuli A, et al. Aesthetic Experiences Across Cultures: Neural Correlates When Viewing Traditional Eastern or Western Landscape Paintings[J]. </w:t>
      </w:r>
      <w:r>
        <w:rPr>
          <w:rFonts w:ascii="Times New Roman" w:eastAsia="SimSun"/>
          <w:i/>
          <w:iCs/>
          <w:color w:val="000000"/>
          <w:sz w:val="21"/>
          <w:szCs w:val="21"/>
        </w:rPr>
        <w:t xml:space="preserve">Frontiers in Psychology</w:t>
      </w:r>
      <w:r>
        <w:rPr>
          <w:rFonts w:ascii="Times New Roman" w:eastAsia="SimSun"/>
          <w:color w:val="000000"/>
          <w:sz w:val="21"/>
          <w:szCs w:val="21"/>
        </w:rPr>
        <w:t xml:space="preserve">, 2019, 10: 798.</w:t>
      </w:r>
    </w:p>
    <w:p>
      <w:pPr>
        <w:spacing w:line="360"/>
        <w:ind w:left="420" w:hanging="420"/>
        <w:jc w:val="both"/>
      </w:pPr>
      <w:r>
        <w:rPr>
          <w:rFonts w:ascii="Times New Roman" w:eastAsia="SimSun"/>
          <w:color w:val="000000"/>
          <w:sz w:val="21"/>
          <w:szCs w:val="21"/>
        </w:rPr>
        <w:t xml:space="preserve">⑮ W3C. Web Content Accessibility Guidelines (WCAG) 2.2[S/OL]. https://www.w3.org/TR/WCAG22/［2026-09-23 引用］.</w:t>
      </w:r>
    </w:p>
    <w:p>
      <w:pPr>
        <w:pStyle w:val="Heading1"/>
        <w:spacing w:after="200" w:before="360" w:line="360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参考文献</w:t>
      </w:r>
    </w:p>
    <w:p>
      <w:pPr>
        <w:spacing w:line="360"/>
        <w:ind w:left="420" w:hanging="420"/>
        <w:jc w:val="both"/>
      </w:pPr>
      <w:r>
        <w:rPr>
          <w:rFonts w:ascii="Times New Roman" w:eastAsia="SimSun"/>
          <w:color w:val="000000"/>
          <w:sz w:val="21"/>
          <w:szCs w:val="21"/>
        </w:rPr>
        <w:t xml:space="preserve">[1] [美]鲁道夫·阿恩海姆：《艺术与视知觉》[M]，滕守尧、朱疆源译，成都：四川人民出版社，1998。</w:t>
      </w:r>
    </w:p>
    <w:p>
      <w:pPr>
        <w:spacing w:line="360"/>
        <w:ind w:left="420" w:hanging="420"/>
        <w:jc w:val="both"/>
      </w:pPr>
      <w:r>
        <w:rPr>
          <w:rFonts w:ascii="Times New Roman" w:eastAsia="SimSun"/>
          <w:color w:val="000000"/>
          <w:sz w:val="21"/>
          <w:szCs w:val="21"/>
        </w:rPr>
        <w:t xml:space="preserve">[2] [美]蒲安迪：《明代小说四大奇书》[M]，沈亨寿译，北京：中国和平出版社，1993。</w:t>
      </w:r>
    </w:p>
    <w:p>
      <w:pPr>
        <w:spacing w:line="360"/>
        <w:ind w:left="420" w:hanging="420"/>
        <w:jc w:val="both"/>
      </w:pPr>
      <w:r>
        <w:rPr>
          <w:rFonts w:ascii="Times New Roman" w:eastAsia="SimSun"/>
          <w:color w:val="000000"/>
          <w:sz w:val="21"/>
          <w:szCs w:val="21"/>
        </w:rPr>
        <w:t xml:space="preserve">[3] 王受之：《世界现代设计史》[M]，北京：中国青年出版社，2002。</w:t>
      </w:r>
    </w:p>
    <w:p>
      <w:pPr>
        <w:spacing w:line="360"/>
        <w:ind w:left="420" w:hanging="420"/>
        <w:jc w:val="both"/>
      </w:pPr>
      <w:r>
        <w:rPr>
          <w:rFonts w:ascii="Times New Roman" w:eastAsia="SimSun"/>
          <w:color w:val="000000"/>
          <w:sz w:val="21"/>
          <w:szCs w:val="21"/>
        </w:rPr>
        <w:t xml:space="preserve">[4] 李砚祖：《设计学概论》[M]，武汉：湖北美术出版社，2009。</w:t>
      </w:r>
    </w:p>
    <w:p>
      <w:pPr>
        <w:spacing w:line="360"/>
        <w:ind w:left="420" w:hanging="420"/>
        <w:jc w:val="both"/>
      </w:pPr>
      <w:r>
        <w:rPr>
          <w:rFonts w:ascii="Times New Roman" w:eastAsia="SimSun"/>
          <w:color w:val="000000"/>
          <w:sz w:val="21"/>
          <w:szCs w:val="21"/>
        </w:rPr>
        <w:t xml:space="preserve">[5] 竺洪波：《西游学十二讲》[M]，北京：中华书局，2018。</w:t>
      </w:r>
    </w:p>
    <w:p>
      <w:pPr>
        <w:pStyle w:val="Heading1"/>
        <w:spacing w:after="200" w:before="360" w:line="360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AI 使用声明</w:t>
      </w:r>
    </w:p>
    <w:p>
      <w:pPr>
        <w:spacing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本文写作过程中使用生成式 AI 工具（DeepSeek-V4-Flash）辅助文献检索线索整理与部分文字的格式整理。研究设计、设计系统及其全部代码实现、核心论证与最终文字定稿均由作者完成并承担责任；全部参考文献经 OpenAlex/Crossref/官方出版页逐条联网核验，正文的设计参数与治理数据均为项目实测。图 1、图 2 为作者以脚本绘制的示意图，图 3 至图 5 为项目页面的真实截图，文中不含 AI 生成图像。AI 未用于替代任何创造性、主动性学术工作，亦未署名为作者。</w:t>
      </w:r>
    </w:p>
    <w:sectPr>
      <w:footerReference w:type="default" r:id="rId7"/>
      <w:pgSz w:w="11906" w:h="16838" w:orient="portrait"/>
      <w:pgMar w:top="1440" w:right="1417" w:bottom="1440" w:left="1701" w:header="850" w:footer="99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sz w:val="21"/>
        <w:szCs w:val="21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 w:line="360"/>
    </w:pPr>
    <w:rPr>
      <w:rFonts w:ascii="Times New Roman" w:eastAsia="Sim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a886c30b73885450d376fc10421eec5d1a43830.png"/><Relationship Id="rId9" Type="http://schemas.openxmlformats.org/officeDocument/2006/relationships/image" Target="media/da484354593f08080113e41112fdbfb2b8cc5b80.png"/><Relationship Id="rId10" Type="http://schemas.openxmlformats.org/officeDocument/2006/relationships/image" Target="media/27947fd34a97ed0184d08909bf6fae4d833b9eed.png"/><Relationship Id="rId11" Type="http://schemas.openxmlformats.org/officeDocument/2006/relationships/image" Target="media/743d1c8a3c42461761b50a96f5f2f32c584a0c28.png"/><Relationship Id="rId12" Type="http://schemas.openxmlformats.org/officeDocument/2006/relationships/image" Target="media/5abb57983d8c69ce82feeec20890dfbfc5d13268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新中式·数字雅集：古典文学数据可视化的本土美学系统——以《西游记》86 幅交互可视化为例</dc:title>
  <cp:lastModifiedBy>Un-named</cp:lastModifiedBy>
  <cp:revision>1</cp:revision>
  <dcterms:created xsi:type="dcterms:W3CDTF">2026-09-24T13:59:34.944Z</dcterms:created>
  <dcterms:modified xsi:type="dcterms:W3CDTF">2026-09-24T13:59:34.945Z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