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14" w:lineRule="atLeast"/>
        <w:jc w:val="center"/>
      </w:pPr>
      <w:r>
        <w:rPr>
          <w:rFonts w:ascii="Times New Roman" w:eastAsia="SimHei"/>
          <w:b/>
          <w:bCs/>
          <w:color w:val="000000"/>
          <w:sz w:val="36"/>
          <w:szCs w:val="36"/>
        </w:rPr>
        <w:t xml:space="preserve">新中式·数字雅集：古典文学数据可视化的本土美学系统——以《西游记》86 幅交互可视化为例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中图分类号</w:t>
      </w:r>
      <w:r>
        <w:rPr>
          <w:rFonts w:ascii="Times New Roman" w:eastAsia="SimSun"/>
          <w:color w:val="000000"/>
          <w:sz w:val="24"/>
          <w:szCs w:val="24"/>
        </w:rPr>
        <w:t xml:space="preserve">：J05（艺术理论）　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文献标识码</w:t>
      </w:r>
      <w:r>
        <w:rPr>
          <w:rFonts w:ascii="Times New Roman" w:eastAsia="SimSun"/>
          <w:color w:val="000000"/>
          <w:sz w:val="24"/>
          <w:szCs w:val="24"/>
        </w:rPr>
        <w:t xml:space="preserve">：A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摘要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把古典文学做成数据可视化，常得到一块仪表盘：白底蓝紫、西式模板，与文本无关，动效没有文化语义，可及性无人过问。本文以《西游记》86 幅交互可视化为实践对象，提出可复制的"新中式·数字雅集"设计系统：宣纸、墨、朱砂三种色相写成设计令牌，经三层架构分发至全部 233 个页面；动效收敛为三档时长与三条缓动曲线；可及性由 CSS 与 JS 双守卫内建；一源多形管线保证整套做法在 86 页规模上可复制。实践说明，本土美学可以落进令牌、规范与门禁，成为可迁移的设计方法论。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关键词</w:t>
      </w:r>
      <w:r>
        <w:rPr>
          <w:rFonts w:ascii="Times New Roman" w:eastAsia="SimSun"/>
          <w:color w:val="000000"/>
          <w:sz w:val="24"/>
          <w:szCs w:val="24"/>
        </w:rPr>
        <w:t xml:space="preserve">：数字人文；数据可视化；设计系统；中国美学；西游记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English Title</w:t>
      </w:r>
      <w:r>
        <w:rPr>
          <w:rFonts w:ascii="Times New Roman" w:eastAsia="SimSun"/>
          <w:color w:val="000000"/>
          <w:sz w:val="24"/>
          <w:szCs w:val="24"/>
        </w:rPr>
        <w:t xml:space="preserve">: New-Chinese Digital Elegance: A Local Aesthetic System for Classical Literature Data Visualization—A Case Study of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Abstract</w:t>
      </w:r>
      <w:r>
        <w:rPr>
          <w:rFonts w:ascii="Times New Roman" w:eastAsia="SimSun"/>
          <w:color w:val="000000"/>
          <w:sz w:val="24"/>
          <w:szCs w:val="24"/>
        </w:rPr>
        <w:t xml:space="preserve">: Digital-humanities visualization tends to be "dashboardized": data is disciplined into Western-template statistical charts, divorcing the visual language of cultural motifs from their textual cores, leaving motion without cultural semantics and accessibility ungoverned. Taking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  <w:r>
        <w:rPr>
          <w:rFonts w:ascii="Times New Roman" w:eastAsia="SimSun"/>
          <w:color w:val="000000"/>
          <w:sz w:val="24"/>
          <w:szCs w:val="24"/>
        </w:rPr>
        <w:t xml:space="preserve"> as an empirical case, this paper proposes a replicable "New-Chinese Digital Elegance" design system: rice-paper, ink and cinnabar tokens encode cultural semantics and are distributed across 233 pages through a three-tier architecture; a three-tier duration and easing contract governs motion; dual CSS/JS guards build in accessibility; a one-source-multi-form pipeline secures reproducibility. The practice shows that local aesthetics can be written into design tokens, motion specifications, and verification gates as a transferable design methodology for classical Chinese literature.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Keywords</w:t>
      </w:r>
      <w:r>
        <w:rPr>
          <w:rFonts w:ascii="Times New Roman" w:eastAsia="SimSun"/>
          <w:color w:val="000000"/>
          <w:sz w:val="24"/>
          <w:szCs w:val="24"/>
        </w:rPr>
        <w:t xml:space="preserve">: digital humanities; data visualization; design system; Chinese aesthetics;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 引言：可视化是否必然西化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西游记》写的是变形——孙悟空有七十二变，妖怪各有幻形。可把这部长篇小说做成数据可视化后，出来的东西几乎都是一个模样：白底，蓝紫色板，圆角卡片，标准的折线图和柱状图——界面不难看，信息也清楚，只是与所呈现的文本没有关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近年叙事学界对"故事"本身提出疑问：Wall 与 Lee 分析《西游记》的行动元核心时指出，故事并非静止的原典，而是一团包含所有变体的"故事云"，每次讲述都改变它的形状①。既然故事是流动的，呈现故事的可视化为什么凝固成了一套西式的界面语法？Drucker 十多年前就提醒过人文学者：界面不是中立容器，从网格到坐标系，每个图形惯例背后都有认识论假设②。妖怪谱系被画成标准饼图时，可视化在"转译"文本，也在"规训"文本。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本文想回答的问题很直接：古典文学的数据可视化是否必然西化？能否有一套从母题内部长出来的本土设计系统？回答依托一项具体的实践——《详解西游记》数字人文项目：100 回逐回解读、615 篇文档、86 个交互可视化页③。"新中式·数字雅集"设计系统即在这 86 页的生产过程中逐渐成形。本文论证的重点不在 86 页的视觉品质，而在系统的可复制性——本土美学被写进了设计令牌、动效规范和验证门禁，它因此是可迁移的方法论，而非一次偶然的成功。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 现状：三条路线与一个盲区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要看清问题，得先看同行在做什么。近十年，古典文学的数字人文可视化大致走出三条路线。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第一条是文学地图。Cooper 与 Gregory 把文学空间叠到真实地理上，提出"文学 GIS"④；Bushell 等人更进一步，区分了以真实世界为底图的 GIS 制图和以文本内部关系为对象的"拓扑制图"，主张文学地图应逼近巴赫金的"时空体"而非单纯地理再现⑤。国内最醒目的成果是华东师范大学的《西游记》文学探索地图——2023 年 CaGIS 学生组 Arthur Robinson 荣誉提名奖，以唐代疆域为底图标注取经路线与关键事件⑥。不过其产品形态多为单幅地图，视觉决策服务于单图叙事，谈不上可复用的系统。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二条是文本图谱。史卓等人用共词分析、知识图谱加故事线可视化"激流三部曲"⑦，赵薇用社会网络分析《大波》⑧。这一路把文本变成了图，但视觉决策由图论布局算法主导，美学服从算法可读性，与文本文化属性关系不大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第三条是文化遗产可视化。Windhager 等的综述显示，该领域已从"搜索与网格"走到丰富的交互形态，但对象主要是博物馆藏品⑨；Trocchianesi 与 Bollini 从设计学立场呼吁设计与数字人文建立协作模型，不要停留在"为数据开发工具"⑩。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条路线各走各的，盲区却相同：没有人把中国古典文学的可视化当作设计问题来对待。水墨、书法这类中式视觉资源的借用散见于设计实践，但多是单件作品的装饰选择。地图画出了空间，图谱画出了结构，而宣纸与墨、留白与点醒、克制的动效、可及的交互——这些属于母题自身的视觉语言——还没有被组织成令牌、规范与组件层面的系统。国内"西游学"对作者、版本与思想史的梳理已经相当系统[5]，国际的西游数字人文则集中在翻译与接受⑪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落到本文的问题，"仪表盘化"可拆成三条症候：视觉语言与文本母题脱节，蓝紫色系与灰度网格承自功能主义设计传统[3]；动效与交互没有文化语义，也缺少规范约束；可及性治理缺位，被当作发布前的修补。三条症候的根子是同一个——设计系统缺位。由此提出三个问题：令牌架构如何从母题生长（RQ1），动效与可及性如何写成可验证的规范（RQ2），这套系统能否在 86 页规模上复制（RQ3）。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3 令牌架构：从文化母题到设计变量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RQ1 先要回答"令牌从何而来"。做法可以概括成一句话：把文学母题转译成设计变量（图 1）——先识别母题中视觉辨识度最高的文化元素，再赋予它们系统的、可复用的语义角色。从《西游记》提取的三个核心色相是宣纸底、墨文、朱砂点醒，分别对应叙事的静、文、动三层：安静的天庭与暴烈的大闹天宫、绵长的取经路与陡起的劫难[2]，恰好能由这三层的对比来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这层转译有学理依据。视觉秩序感本是审美知觉的基础变量[1]；水墨画的"视觉秩序"已被证明可以测量，构图复杂性与留白比例显著影响观众评分⑬；跨文化的 fMRI 研究也显示，观众对自身文化传统的绘画存在内隐偏好⑭。从母题提取的变量不止"像"母题，认知上也更易被目标受众接受——这为"新中式"界面提供了超出风格喜好的依据。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系统以"数字雅集"为名，取的是雅集的"聚观"意涵：文人雅集以诗、书、画、印同场共赏，价值不在单件孤品，而在诸艺同席的整一气象。落到界面上，是 86 幅可视化、615 篇解读与站内对话入口共用同一组令牌组件；读者游观、检索、问答，如入一场持续展开的雅集。具体实现落在 tokens.css 的三组令牌上（表 1）。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　纸墨朱三元核心令牌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文化层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语义角色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纸（底）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--bg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#FAF7F0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宣纸暖白，非纯白降眩光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墨（骨）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#23201A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主文字，非纯黑避"死黑"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墨（三级）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--ink-soft / --ink-faint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#6B6455 / #9A9280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次级/三级文字灰度阶梯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醒（眼）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朱砂，全站唯一彩色强调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醒（第二系）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--accent-2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靛蓝，链接与数据 meta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醒（反派）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--rebel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#8C2A2A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暗朱红，反派/警示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关键的决策是朱砂为全站唯一彩色强调——只留一个彩色通道，强调信息才不会被多色竞争稀释。反派色复用朱砂色相并压低明度，正邪对立因此呈现为同一色相的明暗两极，而不是另起一套色系。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令牌解决"对不对"，三层模型解决"漂不漂移"（图 2）。tokens.css 只声明变量，system.css 只消费变量，233 个页面各自内联覆盖图表样式，改一处，全站同步。夜读模式验证了扩展性：同一组令牌换一组取值（宣纸换玄墨、墨换宣纸字、朱砂提亮），页面代码零改动。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文化语义之外，还有数据编码的约束。图表使用一套六色"雅集系列色板"（表 2），全部取自水墨矿物色族，多系列并置仍然统一；语义色与系列色相互错开。最见功夫的用例是八十一难难度热力图（详见案例二）：难度 1-10 映射为"米白→暗朱"五级色阶而非通用红绿渐变——五个锚点明度单调递减，色弱读者靠明度即可区分，色相又不脱离矿物色族，与文本气质一致。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　雅集系列色板（--chart-1 至 --chart-6）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色名</w:t>
            </w:r>
          </w:p>
        </w:tc>
        <w:tc>
          <w:tcPr>
            <w:tcW w:type="pct" w:w="4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--chart-1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--chart-2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--chart-3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赭金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#C9A063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苔绿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#6B8E5A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--chart-5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米灰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#D8CFBC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--chart-6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赭石（备用系列）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#8A6D3B</w:t>
            </w:r>
          </w:p>
        </w:tc>
      </w:tr>
    </w:tbl>
    <w:p>
      <w:pPr>
        <w:spacing w:after="120" w:line="360"/>
      </w:pP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1　文化母题→设计令牌转译流程（来源：作者自绘）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4095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2　令牌架构三层模型（来源：作者自绘）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 动效契约：克制的动效是可执行规范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在多数项目里处于两个极端：要么全然缺席，页面僵硬；要么堆满弹跳与无限循环的光晕，沦为炫技。共同原因是缺乏明文规范——没有时长分级、缓动约定，也没有对"减弱动态"用户的兜底。本文把动效写成一份三件套契约：时长三档、缓动三系、双守卫。它不留在设计师的口头禅里，而写进 tokens.css 与 system.css 的全局规则，因此可被引用、被脚本校验、被第三方复核。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时长收敛为三档：150ms 给即时反馈（按压、hover），250ms 给状态变化（卡片浮起、tooltip），500ms 给叙事性入场（图表、区块显现）。原则是快反馈、缓叙事，契约之外不设第四档。缓动定了三条曲线，并明文弃用裸 ease，取值见表 3。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　动效契约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令牌/机制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即时反馈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--dur-fast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按压、hover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状态变化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--dur-base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卡片浮起、tooltip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叙事过渡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--dur-slow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图表入场、区块 reveal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默认缓动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--ease-out-quart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cubic-bezier(0.25, 1, 0.5,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均匀精致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大位移入场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--ease-out-expo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cubic-bezier(0.16, 1, 0.3,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果断自信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展开收起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--ease-in-out-soft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cubic-bezier(0.65, 0, 0.35,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往返对称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白名单例外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count-up（脚本级豁免·非令牌）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900ms easeOutExpo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数字增长"宣告"型动效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契约允许例外，但例外必须登记。统计数字的 count-up 以 900ms 的 easeOutExpo 超出三档，被明文豁免为"白名单例外"——数字增长属于"宣告"型动效，需要更长的叙事时间与更果断的抵达感。没有登记制度，例外会逐渐吃掉契约本身。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"减弱动态"偏好由两道守卫兜底。守卫一是 CSS：一条全局媒体查询把全站动画压缩至 0.01ms、循环降为 1、平滑滚动转 auto，图表级动画直接关闭，新页面零配合即受保护。守卫二是 JS：脚本以 matchMedia 检测该偏好——count-up 直接保持终值，滚动显现直达终态，D3 图表只播首帧。两道守卫同守一个容错原则：降级失败时保持终值可见，"不动"永远比"动一半"安全。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动效为何而雅？入场取 500ms 的克制时长与均匀抵达的曲线，是"淡入如墨晕"，不是"弹入如果冻"。这层文化语义不靠玄学描述支撑——它被三档三系锚定，任何动画都能对照检验自己该属哪一档、该用哪条曲线。动效由此从装饰变回叙事。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5 案例深描：三种视觉编码形态下的系统复用性检验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设计系统的成色不能靠自述，得看落地。这里选三个真实页面（图 3 至图 5）做深描，网络图、热力图、路线图各一，恰好覆盖节点、格子、路径三种视觉编码。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先看人物语义网络。数据层把人物分进四个叙事集团（取经团队、神佛体系、妖怪、凡人），整份数据内嵌页面，不发网络请求。配色才是这一页真正的决策：四个集团分别用朱砂、靛蓝、褐、苔绿，全部取自雅集系列色板的同族色，而不是网络可视化默认的彩虹色，"势力"一眼可辨；次级分组只在集团色内调明度，不引入新色相。布局参数刻意收敛（alphaDecay 0.08、velocityDecay 0.5），避免力导向图长时间振荡。交互上，节点可拖拽，悬停高亮关联边，tooltip 复用全站统一样式。暗色主题下集团色经提亮滤波，键盘焦点样式全站一致。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八十一难热力图信息密度更高：81 难、每难九个字段，难度、起因、结局、阶段一次编进去。难点在色阶。难度 1-10 映射为五级渐变（#f5e9d4→#e9b885→#d98060→#c8463a→#8c2a2a），从宣纸米白渐入暗朱，难愈深而色愈重。它不是把通用红绿热力图换个颜色，而是把难度编码进同一矿物色族的明暗深浅；末端落在暗朱红，与反派色同源。五个锚点明度单调递减，色弱读者靠明度即可区分，不必依赖色相。格子悬停出 tooltip，阶段过滤与起因图例支撑"哪一阶段的难更重"这类读图问题；tooltip 在窄视口收窄，其余适配见第 6 节。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取经路线图回应的是文学地图。数据层采用 fetch 加外部 JSON、失败回退内嵌样例的双轨，与全站的fail-open 哲学一致。视觉上，路线不投在地理疆域上，而是以回目为时间轴、地点为节点，排成可阅读的叙事序列，收悟空、三打白骨精、取得真经成为节点注记——这正是 Bushell 等人"逼近文本内部时空关系"主张的落地⑤，也是对单幅获奖地图的"系统化"差异化。地点悬停出事件详情，类型筛选与地区高亮联动；节点用类型图标、色带、文字标签三重冗余编码，不单靠颜色。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三个案例各验证一个侧面：叙事色覆盖算法图，文化色阶编码数值，数据层容错——合起来回答 RQ3 的前半，系统在 86 页规模的落地不是孤例。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3　人物语义网络页·浅色主题（来源：项目页面截图）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4　八十一难难度热力图·浅色主题（来源：项目页面截图）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31337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5　取经路线图·浅色主题（来源：项目页面截图）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6 可及性：作为设计问题的 WCAG 2.2 AA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数项目把可及性当作发布前的修补清单：跑一遍扫描，修掉报错，在文末写一句"已通过"。这种治理必然反复，因为系统本身不承载对比度与焦点规范，新页面一来，同类问题重新出现；它也只治表——红绿色盲在红绿渐变上看不见数据，不是扫描器能修的错，而是编码层面的设计错。本文把可及性重构成设计维度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对比度在令牌定义阶段即满足 WCAG 2.2 AA 阈值（正常文本 4.5:1、大文本与非文本 UI 3:1）⑮，而非事后校验。双主题是同一组令牌的两次求值，各自独立过 AA 线；theme-init.js 先读用户偏好、无则跟随系统，渲染前挂载以防闪烁，禁用 JS 时保持浅色。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交互分三条通道治理。键盘通道全站统一 :focus-visible 朱砂描边，键盘可达元素都有明确焦点指示（WCAG 2.4.13）；悬停才出现的交互都要求键盘可达，拖拽提供键盘替代（WCAG 2.5.7）。触屏通道在 ≤640px 视口降级，图例纵排、tooltip 收窄，tap 替代 hover。读屏通道为图表 SVG 声明 role="img" 与 aria-labelledby，读屏得到的是结构化文字摘要，不是"一团图形"。三条通道共享同一套令牌组件，新页面不必重复设计。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最后的防线是机器。自研的 a11y_audit.py 用 19 类自动检查覆盖 28 项 WCAG 2.2 相关准则，问题分级 P0-P3，P0 存在即 CI 失败——带阻断级可及性问题的页面进不了仓库。这套门禁经受过最大规模的检验：暗色主题的全站审计先发现 1590 处低对比文字（含审计器误判的假阳性），修正审计器后确立 318 处/44 页的诚实基线，再按"文字反白、离散色映射、连续色阶运行时提升"三个阶段治理，最终不可见文本归零。这段经历的价值不在数字，而在次序——先建立经复核的基线，再分阶段治理，最后靠持续运行的门禁防回归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7 方法论：一源多形与可复制性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RQ3 的完整问题是可复制性。单个页面可以做得精美，只有系统才能持久。可复制性靠三个支点。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内容层是一源多形管线：615 篇 Markdown 文档转成 133 个维度的 JSON 数据，再渲染成 86 个可视化页。三级解耦——改文案不动数据视觉，改数值不动文案视觉，改样式不动内容数据。令牌三层模型、动效契约、a11y 门禁，分别是这条解耦原则在样式层、行为层、质量层的投影。86 页的规模说明，可复制性来自结构设计本身。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工程层是零外域依赖。D3 v7、Three.js、子集化字体全部本地托管，不引用任何 CDN，file:// 协议双击即开。第三方拿到项目文件就能完整复现，运行时代码可逐行核验——一个作品要可复制，前提是它可核验。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推广层是换母题。令牌层换掉色相即可——三国取青瓷、赤壁、玄铁，红楼取藕荷、黛青、胭脂，改一处三层跟随；动效、可及性、管线三层不换。"新中式"由此从《西游记》的专有风格，变成面向中国古典文学的通用设计方法[4]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8 结语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回到开头的问题：可视化是否必然西化？不必，但有一个条件——做成设计系统，而非单幅作品。Trocchianesi 与 Bollini 早已呼吁设计与数字人文建立协作模型⑩，Windhager 等的综述也展示了文化遗产可视化走向丰富形态的趋势⑨。本文把这两条线索合流：以设计系统的方式进入数字人文，让本土美学成为可视化语法的一种合法选择——不是放弃数据可视化的通用认知基础，而是在其上叠加一层文化语义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局限也要说清楚。86 页的规模虽大，三国、红楼的迁移路径还没有真实施作，仍是方法论主张；暗色治理的经验数据来自单一项目，普遍性有待检验。届时，"新中式·数字雅集"有望从一套设计系统，长成古典文学数字人文研究复用的设计方法论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注释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① Wall B, Lee D M. Stability in Variation: Visualizing the Actantial Core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The 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Korean Studies</w:t>
      </w:r>
      <w:r>
        <w:rPr>
          <w:rFonts w:ascii="Times New Roman" w:eastAsia="SimSun"/>
          <w:color w:val="000000"/>
          <w:sz w:val="21"/>
          <w:szCs w:val="21"/>
        </w:rPr>
        <w:t xml:space="preserve">, 2023, 47(1): 117-144.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② Drucker J. Humanities Approaches to Graphical Display[J].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Humanities Quarterly</w:t>
      </w:r>
      <w:r>
        <w:rPr>
          <w:rFonts w:ascii="Times New Roman" w:eastAsia="SimSun"/>
          <w:color w:val="000000"/>
          <w:sz w:val="21"/>
          <w:szCs w:val="21"/>
        </w:rPr>
        <w:t xml:space="preserve">, 2011, 5(1).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③ 详解西游记项目：《详解西游记》[EB/OL]，https://github.com/1273984347/xiyouji，2026-09-23 引用。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④ Cooper D, Gregory I. Mapping the English Lake District: a literary GIS[J].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Transactions of the Institute of British Geographers</w:t>
      </w:r>
      <w:r>
        <w:rPr>
          <w:rFonts w:ascii="Times New Roman" w:eastAsia="SimSun"/>
          <w:color w:val="000000"/>
          <w:sz w:val="21"/>
          <w:szCs w:val="21"/>
        </w:rPr>
        <w:t xml:space="preserve">, 2010, 36(1): 89-108.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⑤ Bushell S, Butler J O, Hay D, et al. Digital Literary Mapping: I. Visualizing and Reading Graph Topologies as Maps for Literature[J].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Cartographica</w:t>
      </w:r>
      <w:r>
        <w:rPr>
          <w:rFonts w:ascii="Times New Roman" w:eastAsia="SimSun"/>
          <w:color w:val="000000"/>
          <w:sz w:val="21"/>
          <w:szCs w:val="21"/>
        </w:rPr>
        <w:t xml:space="preserve">, 2022, 57(1): 11-36.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⑥ 华东师范大学地理科学学院：《西游记》文学探索地图[EB/OL]，2023 CaGIS 年度地图设计大赛学生组 Arthur Robinson 荣誉提名奖，https://geo.ecnu.edu.cn，2026-09-23 引用。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⑦ 史卓、王萌、曾树珍等：《基于知识图谱的文学叙事可视化研究》[J]，《中国科技论文》，2023年第18卷第11期，第1230-1235、1243页。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⑧ 赵薇：《社会网络分析与"《大波》三部曲"的人物功能》[J]，《山东社会科学》，2018年第9期，第50-64页。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⑨ Windhager F, Federico P, Schreder G, et al. Visualization of Cultural Heritage Collection Data: State of the Art and Future Challenges[J].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IEEE Transactions on Visualization and Computer Graphics</w:t>
      </w:r>
      <w:r>
        <w:rPr>
          <w:rFonts w:ascii="Times New Roman" w:eastAsia="SimSun"/>
          <w:color w:val="000000"/>
          <w:sz w:val="21"/>
          <w:szCs w:val="21"/>
        </w:rPr>
        <w:t xml:space="preserve">, 2018, 25(6): 2311-2330.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⑩ Trocchianesi R, Bollini L. Design, Digital Humanities, and Information Visualization for Cultural Heritage[J].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Multimodal Technologies and Interaction</w:t>
      </w:r>
      <w:r>
        <w:rPr>
          <w:rFonts w:ascii="Times New Roman" w:eastAsia="SimSun"/>
          <w:color w:val="000000"/>
          <w:sz w:val="21"/>
          <w:szCs w:val="21"/>
        </w:rPr>
        <w:t xml:space="preserve">, 2023, 7(11): 102.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⑪ Jia N, Xin J, Wang Y. Overseas reception of English translations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Temporal dynamics, cross-platform sentiment patterns, and topic modeling[J].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PLOS ONE</w:t>
      </w:r>
      <w:r>
        <w:rPr>
          <w:rFonts w:ascii="Times New Roman" w:eastAsia="SimSun"/>
          <w:color w:val="000000"/>
          <w:sz w:val="21"/>
          <w:szCs w:val="21"/>
        </w:rPr>
        <w:t xml:space="preserve">, 2026, 21(4): e0347253.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⑫ Ping Y, Wang B. Retranslated Chinese classical canon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a stylometric comparison between Julia Lovell's retranslation and Arthur Waley's translation[J].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Scholarship in the Humanities</w:t>
      </w:r>
      <w:r>
        <w:rPr>
          <w:rFonts w:ascii="Times New Roman" w:eastAsia="SimSun"/>
          <w:color w:val="000000"/>
          <w:sz w:val="21"/>
          <w:szCs w:val="21"/>
        </w:rPr>
        <w:t xml:space="preserve">, 2024, 39(1): 308-320.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⑬ Fan Z B, Zhang K. Visual order of Chinese ink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Visual Computing for Industry, Biomedicine, and Art</w:t>
      </w:r>
      <w:r>
        <w:rPr>
          <w:rFonts w:ascii="Times New Roman" w:eastAsia="SimSun"/>
          <w:color w:val="000000"/>
          <w:sz w:val="21"/>
          <w:szCs w:val="21"/>
        </w:rPr>
        <w:t xml:space="preserve">, 2020, 3(1): 23.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⑭ Yang T, Silveira S, Formuli A, et al. Aesthetic Experiences Across Cultures: Neural Correlates When Viewing Traditional Eastern or Western Landscape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Frontiers in Psychology</w:t>
      </w:r>
      <w:r>
        <w:rPr>
          <w:rFonts w:ascii="Times New Roman" w:eastAsia="SimSun"/>
          <w:color w:val="000000"/>
          <w:sz w:val="21"/>
          <w:szCs w:val="21"/>
        </w:rPr>
        <w:t xml:space="preserve">, 2019, 10: 798.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⑮ W3C. Web Content Accessibility Guidelines (WCAG) 2.2[S/OL]. https://www.w3.org/TR/WCAG22/［2026-09-23 引用］.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参考文献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[1] [美]鲁道夫·阿恩海姆：《艺术与视知觉》[M]，滕守尧、朱疆源译，成都：四川人民出版社，1998。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[2] [美]蒲安迪：《明代小说四大奇书》[M]，沈亨寿译，北京：中国和平出版社，1993。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[3] 王受之：《世界现代设计史》[M]，北京：中国青年出版社，2002。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[4] 李砚祖：《设计学概论》[M]，武汉：湖北美术出版社，2009。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[5] 竺洪波：《西游学十二讲》[M]，北京：中华书局，2018。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AI 使用声明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本文写作过程中使用生成式 AI 工具（DeepSeek-V4-Flash）辅助文献检索线索整理与部分文字的格式整理。研究设计、设计系统及其全部代码实现、核心论证与最终文字定稿均由作者完成并承担责任；全部参考文献经 OpenAlex/Crossref/官方出版页逐条联网核验，正文的设计参数与治理数据均为项目实测。图 1、图 2 为作者以脚本绘制的示意图，图 3 至图 5 为项目页面的真实截图，文中不含 AI 生成图像。AI 未用于替代任何创造性、主动性学术工作，亦未署名为作者。</w:t>
      </w:r>
    </w:p>
    <w:sectPr>
      <w:footerReference w:type="default" r:id="rId7"/>
      <w:pgSz w:w="11906" w:h="16838" w:orient="portrait"/>
      <w:pgMar w:top="1440" w:right="1417" w:bottom="1440" w:left="1701" w:header="850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36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a886c30b73885450d376fc10421eec5d1a43830.png"/><Relationship Id="rId9" Type="http://schemas.openxmlformats.org/officeDocument/2006/relationships/image" Target="media/da484354593f08080113e41112fdbfb2b8cc5b80.png"/><Relationship Id="rId10" Type="http://schemas.openxmlformats.org/officeDocument/2006/relationships/image" Target="media/27947fd34a97ed0184d08909bf6fae4d833b9eed.png"/><Relationship Id="rId11" Type="http://schemas.openxmlformats.org/officeDocument/2006/relationships/image" Target="media/743d1c8a3c42461761b50a96f5f2f32c584a0c28.png"/><Relationship Id="rId12" Type="http://schemas.openxmlformats.org/officeDocument/2006/relationships/image" Target="media/eb9aab954bae28e9ccaec4a181f9c75a0c3b30f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新中式·数字雅集：古典文学数据可视化的本土美学系统——以《西游记》86 幅交互可视化为例</dc:title>
  <cp:lastModifiedBy>Un-named</cp:lastModifiedBy>
  <cp:revision>1</cp:revision>
  <dcterms:created xsi:type="dcterms:W3CDTF">2026-09-24T13:59:34.667Z</dcterms:created>
  <dcterms:modified xsi:type="dcterms:W3CDTF">2026-09-24T13:59:34.668Z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