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as an empirical case, this paper proposes a replicable "New-Chinese Digital Elegance" design system: rice-paper, ink and cinnabar tokens encode cultural semantics and are distributed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用于呈现它的可视化面貌却惊人单一：白底、蓝紫色板、圆角卡片、标准折线柱状图——界面设计良好，却仿佛与文本无关。叙事学者近年对"故事"提出本体论质疑：故事是包含所有变体的"故事云"，每次讲述都改变其形状①。若故事形态是流动的，呈现它的可视化为何凝固成西式界面语法？如 Drucker 所言，界面不是中立容器，每一图形惯例都承载认识论假设②。当妖怪谱系被画成标准饼图，可视化在"转译"文本的同时也在"规训"文本。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回答基于一项实证工作——《详解西游记》数字人文项目：100 回逐回解读、615 篇文档、86 个交互可视化页③。在生产过程中发展出「新中式·数字雅集」设计系统。本文论证的重点不是这 86 页的视觉品质，而是其可复制性：本土美学被写进令牌、规范与门禁，构成可迁移的方法论。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等进一步区分以真实世界为底图的 GIS 制图与以文本内部关系为对象的"拓扑制图"，主张文学地图应逼近巴赫金"时空体"而非单纯地理再现⑤；国内最醒目成果是华东师大《西游记》文学探索地图（2023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，视觉决策服务于单图叙事而非可复用的系统。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：史卓等以共词分析、知识图谱与故事线可视化"激流三部曲"⑦，赵薇以社会网络分析《大波》⑧，其视觉决策以图论布局为主导，美学服务于算法可读性而非文本文化属性。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等综述显示该领域已从"搜索与网格"走向丰富交互形态，但主要服务博物馆藏品⑨；Trocchianesi 与 Bollini 提出设计与数字人文应建立协作模型而非停留于"为数据开发工具"⑩。</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借用散见于设计实践，但多为单件作品的装饰性选择；文学地图画出了空间，图谱画出了结构，而宣纸与墨、留白与点醒、克制的动效与可及的交互——这些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，视觉语言与文本文化母题脱节——蓝紫色系、灰度网格与卡片式仪表盘承自功能主义设计传统[3]，与文本的文化语境无关；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，动效与交互缺乏文化语义——动效既缺规范约束，也未与文本的节奏意象关联；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篇解读与站内对话入口共享同一组令牌与组件；读者游观、检索与问答，如入一场持续展开的雅集。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页内联（图表样式），改一处全站同步。夜读模式验证其可扩展性：同一组令牌二次取值（宣纸↔玄墨、墨↔宣纸字、朱砂提亮），页面代码零改动。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相不脱离矿物色族，色弱读者靠明度即可区分，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多数项目对动效的处理趋于两极——或全然缺席，或过度堆叠——共同原因是</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。本文以"时长三档+缓动三系+双守卫"三件套写进令牌与全局降级规则，可被页面引用、脚本校验、第三方复核。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reveal）。原则是"快反馈、缓叙事"——即时响应用最短档、叙事入场用最长档、状态变化居中；契约之外不设第四档时长。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作"白名单例外"，理由是数字增长属"宣告"型动效，需更长的叙事时间与更果断的抵达感；例外必须显式登记并说明理由，以防累积侵蚀契约。</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2（JS）：以 matchMedia 检测短路——count-up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5）逐层拆解"数据结构→视觉映射→交互→可及性"链路，构成对复用性的严格检验——三种形态恰好覆盖节点、格子、路径三种视觉编码。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内嵌随页面分发、无需网络请求。视觉映射上，四集团映射为朱砂/靛蓝/褐/苔绿——取自雅集系列色板同族色而非默认彩虹色，"势力"一眼可辨，次级分组只在集团色内做明度变化、不引入新色相；布局参数克制收敛（alphaDecay 0.08、velocityDecay 0.5），避免力导向图长时间振荡。交互上，节点拖拽、悬停高亮关联边、tooltip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它把"难度"编码进同一矿物色族明暗深浅的语义通道，末端落在暗朱红，使"最难"与"反派色"色相家族同源。这一色阶天然色觉友好：五个锚点明度单调递减，色弱读者靠明度即可区分，无需依赖色相。交互上，格子悬停展示 tooltip，阶段过滤与起因图例支撑阶段与起因的读图比较。可及性上，tooltip 在窄视口收窄；其余适配见第 6 节三通道治理。</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视觉映射上，路线以"回目为时间轴+地点为节点"排布，事件（收悟空、三打白骨精、取得真经）成为节点注记——不是绘制地理疆域上的路线投影，而是把路线组织成可阅读的叙事序列，回应了文学制图应逼近文本内部时空关系的主张⑤，是对单幅获奖地图"系统化"的差异化。交互上，地点悬停/点击展示事件详情与类型筛选联动。可及性上，节点以"类型图标+色带+文字标签"三重冗余编码，不单靠颜色。</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13372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33725"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3:1）⑮在令牌定义阶段即满足，而非事后校验；双主题是同一令牌的两次求值，各自独立过 AA 线；theme-init.js 先读用户偏好、无则跟随系统、渲染前挂载防闪烁，禁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：设计系统把交互分成三条通道分别治理。键盘通道统一 :focus-visible 朱砂描边，任何键盘到达的交互元素都有明确焦点指示（WCAG 2.4.13）；悬停才出现的交互（tooltip、拖拽）全部需要键盘可达——拖拽元素提供键盘替代（WCAG 2.5.7）。触屏通道以 ≤640px 视口降级（图例纵排、tooltip 收窄），tap 替代 hover 为首要交互。读屏通道图表 SVG 声明 role="img" + aria-labelledby，读屏获得结构化文字摘要而非"一团图形"。三条通道共享同一套令牌组件，新页面不必重复设计。</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相关准则/检查项，扫描全站，问题分级 P0-P3，</w:t>
      </w:r>
      <w:r>
        <w:rPr>
          <w:rFonts w:ascii="Times New Roman" w:eastAsia="SimSun"/>
          <w:b/>
          <w:bCs/>
          <w:color w:val="000000"/>
          <w:sz w:val="24"/>
          <w:szCs w:val="24"/>
        </w:rPr>
        <w:t xml:space="preserve">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页）三级解耦——改文案不动数据视觉、改数值不动文案视觉、改样式不动内容数据。关键在"解耦"：它是贯穿全项目的组织原则——令牌三层模型、动效契约与 a11y 门禁分别是其在样式层、行为层、质量层的投影。86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局限亦须诚实交代：其一，86 页规模虽大，但迁移路径（三国/红楼）尚未真实施作，仍是方法论主张而非实证；其二，暗色治理的经验数据来自单一项目，其普遍性有待跨项目检验。届时，"新中式·数字雅集"有望从一套设计系统成长为古典文学数字人文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w:t>
      </w:r>
      <w:r>
        <w:rPr>
          <w:rFonts w:ascii="Times New Roman" w:eastAsia="SimSun"/>
          <w:i/>
          <w:iCs/>
          <w:color w:val="000000"/>
          <w:sz w:val="21"/>
          <w:szCs w:val="21"/>
        </w:rPr>
        <w:t xml:space="preserve">Korean Studies</w:t>
      </w:r>
      <w:r>
        <w:rPr>
          <w:rFonts w:ascii="Times New Roman" w:eastAsia="SimSun"/>
          <w:color w:val="000000"/>
          <w:sz w:val="21"/>
          <w:szCs w:val="21"/>
        </w:rPr>
        <w:t xml:space="preserve">, 2023, 47(1): 117-144.</w:t>
      </w:r>
    </w:p>
    <w:p>
      <w:pPr>
        <w:spacing w:line="360"/>
        <w:ind w:left="420" w:hanging="420"/>
        <w:jc w:val="both"/>
      </w:pPr>
      <w:r>
        <w:rPr>
          <w:rFonts w:ascii="Times New Roman" w:eastAsia="SimSun"/>
          <w:color w:val="000000"/>
          <w:sz w:val="21"/>
          <w:szCs w:val="21"/>
        </w:rPr>
        <w:t xml:space="preserve">② Drucker J. Humanities Approaches to Graphical Display[J]. </w:t>
      </w:r>
      <w:r>
        <w:rPr>
          <w:rFonts w:ascii="Times New Roman" w:eastAsia="SimSun"/>
          <w:i/>
          <w:iCs/>
          <w:color w:val="000000"/>
          <w:sz w:val="21"/>
          <w:szCs w:val="21"/>
        </w:rPr>
        <w:t xml:space="preserve">Digital Humanities Quarterly</w:t>
      </w:r>
      <w:r>
        <w:rPr>
          <w:rFonts w:ascii="Times New Roman" w:eastAsia="SimSun"/>
          <w:color w:val="000000"/>
          <w:sz w:val="21"/>
          <w:szCs w:val="21"/>
        </w:rPr>
        <w:t xml:space="preserve">, 2011, 5(1).</w:t>
      </w:r>
    </w:p>
    <w:p>
      <w:pPr>
        <w:spacing w:line="360"/>
        <w:ind w:left="420" w:hanging="420"/>
        <w:jc w:val="both"/>
      </w:pPr>
      <w:r>
        <w:rPr>
          <w:rFonts w:ascii="Times New Roman" w:eastAsia="SimSun"/>
          <w:color w:val="000000"/>
          <w:sz w:val="21"/>
          <w:szCs w:val="21"/>
        </w:rPr>
        <w:t xml:space="preserve">③ 详解西游记项目：《详解西游记》[EB/OL]，https://github.com/1273984347/xiyouji，2026-09-23 引用。</w:t>
      </w:r>
    </w:p>
    <w:p>
      <w:pPr>
        <w:spacing w:line="360"/>
        <w:ind w:left="420" w:hanging="420"/>
        <w:jc w:val="both"/>
      </w:pPr>
      <w:r>
        <w:rPr>
          <w:rFonts w:ascii="Times New Roman" w:eastAsia="SimSun"/>
          <w:color w:val="000000"/>
          <w:sz w:val="21"/>
          <w:szCs w:val="21"/>
        </w:rPr>
        <w:t xml:space="preserve">④ Cooper D, Gregory I. Mapping the English Lake District: a literary GIS[J]. </w:t>
      </w:r>
      <w:r>
        <w:rPr>
          <w:rFonts w:ascii="Times New Roman" w:eastAsia="SimSun"/>
          <w:i/>
          <w:iCs/>
          <w:color w:val="000000"/>
          <w:sz w:val="21"/>
          <w:szCs w:val="21"/>
        </w:rPr>
        <w:t xml:space="preserve">Transactions of the Institute of British Geographers</w:t>
      </w:r>
      <w:r>
        <w:rPr>
          <w:rFonts w:ascii="Times New Roman" w:eastAsia="SimSun"/>
          <w:color w:val="000000"/>
          <w:sz w:val="21"/>
          <w:szCs w:val="21"/>
        </w:rPr>
        <w:t xml:space="preserve">,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w:t>
      </w:r>
      <w:r>
        <w:rPr>
          <w:rFonts w:ascii="Times New Roman" w:eastAsia="SimSun"/>
          <w:i/>
          <w:iCs/>
          <w:color w:val="000000"/>
          <w:sz w:val="21"/>
          <w:szCs w:val="21"/>
        </w:rPr>
        <w:t xml:space="preserve">Cartographica</w:t>
      </w:r>
      <w:r>
        <w:rPr>
          <w:rFonts w:ascii="Times New Roman" w:eastAsia="SimSun"/>
          <w:color w:val="000000"/>
          <w:sz w:val="21"/>
          <w:szCs w:val="21"/>
        </w:rPr>
        <w:t xml:space="preserve">, 2022, 57(1): 11-36.</w:t>
      </w:r>
    </w:p>
    <w:p>
      <w:pPr>
        <w:spacing w:line="360"/>
        <w:ind w:left="420" w:hanging="420"/>
        <w:jc w:val="both"/>
      </w:pPr>
      <w:r>
        <w:rPr>
          <w:rFonts w:ascii="Times New Roman" w:eastAsia="SimSun"/>
          <w:color w:val="000000"/>
          <w:sz w:val="21"/>
          <w:szCs w:val="21"/>
        </w:rPr>
        <w:t xml:space="preserve">⑥ 华东师范大学地理科学学院：《西游记》文学探索地图[EB/OL]，2023 CaGIS 年度地图设计大赛学生组 Arthur Robinson 荣誉提名奖，https://geo.ecnu.edu.cn，2026-09-23 引用。</w:t>
      </w:r>
    </w:p>
    <w:p>
      <w:pPr>
        <w:spacing w:line="360"/>
        <w:ind w:left="420" w:hanging="420"/>
        <w:jc w:val="both"/>
      </w:pPr>
      <w:r>
        <w:rPr>
          <w:rFonts w:ascii="Times New Roman" w:eastAsia="SimSun"/>
          <w:color w:val="000000"/>
          <w:sz w:val="21"/>
          <w:szCs w:val="21"/>
        </w:rPr>
        <w:t xml:space="preserve">⑦ 史卓、王萌、曾树珍等：《基于知识图谱的文学叙事可视化研究》[J]，《中国科技论文》，2023年第18卷第11期，第1230-1235、1243页。</w:t>
      </w:r>
    </w:p>
    <w:p>
      <w:pPr>
        <w:spacing w:line="360"/>
        <w:ind w:left="420" w:hanging="420"/>
        <w:jc w:val="both"/>
      </w:pPr>
      <w:r>
        <w:rPr>
          <w:rFonts w:ascii="Times New Roman" w:eastAsia="SimSun"/>
          <w:color w:val="000000"/>
          <w:sz w:val="21"/>
          <w:szCs w:val="21"/>
        </w:rPr>
        <w:t xml:space="preserve">⑧ 赵薇：《社会网络分析与"《大波》三部曲"的人物功能》[J]，《山东社会科学》，2018年第9期，第50-64页。</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w:t>
      </w:r>
      <w:r>
        <w:rPr>
          <w:rFonts w:ascii="Times New Roman" w:eastAsia="SimSun"/>
          <w:i/>
          <w:iCs/>
          <w:color w:val="000000"/>
          <w:sz w:val="21"/>
          <w:szCs w:val="21"/>
        </w:rPr>
        <w:t xml:space="preserve">IEEE Transactions on Visualization and Computer Graphics</w:t>
      </w:r>
      <w:r>
        <w:rPr>
          <w:rFonts w:ascii="Times New Roman" w:eastAsia="SimSun"/>
          <w:color w:val="000000"/>
          <w:sz w:val="21"/>
          <w:szCs w:val="21"/>
        </w:rPr>
        <w:t xml:space="preserve">,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w:t>
      </w:r>
      <w:r>
        <w:rPr>
          <w:rFonts w:ascii="Times New Roman" w:eastAsia="SimSun"/>
          <w:i/>
          <w:iCs/>
          <w:color w:val="000000"/>
          <w:sz w:val="21"/>
          <w:szCs w:val="21"/>
        </w:rPr>
        <w:t xml:space="preserve">Multimodal Technologies and Interaction</w:t>
      </w:r>
      <w:r>
        <w:rPr>
          <w:rFonts w:ascii="Times New Roman" w:eastAsia="SimSun"/>
          <w:color w:val="000000"/>
          <w:sz w:val="21"/>
          <w:szCs w:val="21"/>
        </w:rPr>
        <w:t xml:space="preserve">,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w:t>
      </w:r>
      <w:r>
        <w:rPr>
          <w:rFonts w:ascii="Times New Roman" w:eastAsia="SimSun"/>
          <w:i/>
          <w:iCs/>
          <w:color w:val="000000"/>
          <w:sz w:val="21"/>
          <w:szCs w:val="21"/>
        </w:rPr>
        <w:t xml:space="preserve">PLOS ONE</w:t>
      </w:r>
      <w:r>
        <w:rPr>
          <w:rFonts w:ascii="Times New Roman" w:eastAsia="SimSun"/>
          <w:color w:val="000000"/>
          <w:sz w:val="21"/>
          <w:szCs w:val="21"/>
        </w:rPr>
        <w:t xml:space="preserve">, 2026, 21(4): e0347253.</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w:t>
      </w:r>
      <w:r>
        <w:rPr>
          <w:rFonts w:ascii="Times New Roman" w:eastAsia="SimSun"/>
          <w:i/>
          <w:iCs/>
          <w:color w:val="000000"/>
          <w:sz w:val="21"/>
          <w:szCs w:val="21"/>
        </w:rPr>
        <w:t xml:space="preserve">Digital Scholarship in the Humanities</w:t>
      </w:r>
      <w:r>
        <w:rPr>
          <w:rFonts w:ascii="Times New Roman" w:eastAsia="SimSun"/>
          <w:color w:val="000000"/>
          <w:sz w:val="21"/>
          <w:szCs w:val="21"/>
        </w:rPr>
        <w:t xml:space="preserve">, 2024, 39(1): 308-320.</w:t>
      </w:r>
    </w:p>
    <w:p>
      <w:pPr>
        <w:spacing w:line="360"/>
        <w:ind w:left="420" w:hanging="420"/>
        <w:jc w:val="both"/>
      </w:pPr>
      <w:r>
        <w:rPr>
          <w:rFonts w:ascii="Times New Roman" w:eastAsia="SimSun"/>
          <w:color w:val="000000"/>
          <w:sz w:val="21"/>
          <w:szCs w:val="21"/>
        </w:rPr>
        <w:t xml:space="preserve">⑬ Fan Z B, Zhang K. Visual order of Chinese ink paintings[J]. </w:t>
      </w:r>
      <w:r>
        <w:rPr>
          <w:rFonts w:ascii="Times New Roman" w:eastAsia="SimSun"/>
          <w:i/>
          <w:iCs/>
          <w:color w:val="000000"/>
          <w:sz w:val="21"/>
          <w:szCs w:val="21"/>
        </w:rPr>
        <w:t xml:space="preserve">Visual Computing for Industry, Biomedicine, and Art</w:t>
      </w:r>
      <w:r>
        <w:rPr>
          <w:rFonts w:ascii="Times New Roman" w:eastAsia="SimSun"/>
          <w:color w:val="000000"/>
          <w:sz w:val="21"/>
          <w:szCs w:val="21"/>
        </w:rPr>
        <w:t xml:space="preserve">,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w:t>
      </w:r>
      <w:r>
        <w:rPr>
          <w:rFonts w:ascii="Times New Roman" w:eastAsia="SimSun"/>
          <w:i/>
          <w:iCs/>
          <w:color w:val="000000"/>
          <w:sz w:val="21"/>
          <w:szCs w:val="21"/>
        </w:rPr>
        <w:t xml:space="preserve">Frontiers in Psychology</w:t>
      </w:r>
      <w:r>
        <w:rPr>
          <w:rFonts w:ascii="Times New Roman" w:eastAsia="SimSun"/>
          <w:color w:val="000000"/>
          <w:sz w:val="21"/>
          <w:szCs w:val="21"/>
        </w:rPr>
        <w:t xml:space="preserve">,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[美]鲁道夫·阿恩海姆：《艺术与视知觉》[M]，滕守尧、朱疆源译，成都：四川人民出版社，1998。</w:t>
      </w:r>
    </w:p>
    <w:p>
      <w:pPr>
        <w:spacing w:line="360"/>
        <w:ind w:left="420" w:hanging="420"/>
        <w:jc w:val="both"/>
      </w:pPr>
      <w:r>
        <w:rPr>
          <w:rFonts w:ascii="Times New Roman" w:eastAsia="SimSun"/>
          <w:color w:val="000000"/>
          <w:sz w:val="21"/>
          <w:szCs w:val="21"/>
        </w:rPr>
        <w:t xml:space="preserve">[2] [美]蒲安迪：《明代小说四大奇书》[M]，沈亨寿译，北京：中国和平出版社，1993。</w:t>
      </w:r>
    </w:p>
    <w:p>
      <w:pPr>
        <w:spacing w:line="360"/>
        <w:ind w:left="420" w:hanging="420"/>
        <w:jc w:val="both"/>
      </w:pPr>
      <w:r>
        <w:rPr>
          <w:rFonts w:ascii="Times New Roman" w:eastAsia="SimSun"/>
          <w:color w:val="000000"/>
          <w:sz w:val="21"/>
          <w:szCs w:val="21"/>
        </w:rPr>
        <w:t xml:space="preserve">[3] 王受之：《世界现代设计史》[M]，北京：中国青年出版社，2002。</w:t>
      </w:r>
    </w:p>
    <w:p>
      <w:pPr>
        <w:spacing w:line="360"/>
        <w:ind w:left="420" w:hanging="420"/>
        <w:jc w:val="both"/>
      </w:pPr>
      <w:r>
        <w:rPr>
          <w:rFonts w:ascii="Times New Roman" w:eastAsia="SimSun"/>
          <w:color w:val="000000"/>
          <w:sz w:val="21"/>
          <w:szCs w:val="21"/>
        </w:rPr>
        <w:t xml:space="preserve">[4] 李砚祖：《设计学概论》[M]，武汉：湖北美术出版社，2009。</w:t>
      </w:r>
    </w:p>
    <w:p>
      <w:pPr>
        <w:spacing w:line="360"/>
        <w:ind w:left="420" w:hanging="420"/>
        <w:jc w:val="both"/>
      </w:pPr>
      <w:r>
        <w:rPr>
          <w:rFonts w:ascii="Times New Roman" w:eastAsia="SimSun"/>
          <w:color w:val="000000"/>
          <w:sz w:val="21"/>
          <w:szCs w:val="21"/>
        </w:rPr>
        <w:t xml:space="preserve">[5] 竺洪波：《西游学十二讲》[M]，北京：中华书局，2018。</w:t>
      </w:r>
    </w:p>
    <w:p>
      <w:pPr>
        <w:pStyle w:val="Heading1"/>
        <w:spacing w:after="200" w:before="360" w:line="360"/>
      </w:pPr>
      <w:r>
        <w:rPr>
          <w:rFonts w:ascii="Times New Roman" w:eastAsia="SimHei"/>
          <w:b/>
          <w:bCs/>
          <w:color w:val="000000"/>
          <w:sz w:val="28"/>
          <w:szCs w:val="28"/>
        </w:rPr>
        <w:t xml:space="preserve">AI 使用声明</w:t>
      </w:r>
    </w:p>
    <w:p>
      <w:pPr>
        <w:spacing w:line="360"/>
        <w:ind w:firstLine="480"/>
        <w:jc w:val="both"/>
      </w:pPr>
      <w:r>
        <w:rPr>
          <w:rFonts w:ascii="Times New Roman" w:eastAsia="SimSun"/>
          <w:color w:val="000000"/>
          <w:sz w:val="24"/>
          <w:szCs w:val="24"/>
        </w:rPr>
        <w:t xml:space="preserve">本文写作过程中使用生成式 AI 工具（DeepSeek-V4-Flash）辅助文献检索线索整理与部分文字的格式整理。研究设计、设计系统及其全部代码实现、核心论证与最终文字定稿均由作者完成并承担责任；全部参考文献经 OpenAlex/Crossref/官方出版页逐条联网核验，正文的设计参数与治理数据均为项目实测。AI 未用于替代任何创造性、主动性学术工作，亦未署名为作者。</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eb9aab954bae28e9ccaec4a181f9c75a0c3b30f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2026-09-23T15:49:27.986Z</dcterms:created>
  <dcterms:modified xsi:type="dcterms:W3CDTF">2026-09-23T15:49:27.987Z</dcterms:modified>
</cp:coreProperties>
</file>

<file path=docProps/custom.xml><?xml version="1.0" encoding="utf-8"?>
<Properties xmlns="http://schemas.openxmlformats.org/officeDocument/2006/custom-properties" xmlns:vt="http://schemas.openxmlformats.org/officeDocument/2006/docPropsVTypes"/>
</file>