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this paper proposes a replicable "New-Chinese Digital Elegance" design system: rice-paper, ink and cinnabar tokens encode cultural semantics and distribute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w:t>
      </w:r>
      <w:r>
        <w:rPr>
          <w:rFonts w:ascii="Times New Roman" w:eastAsia="SimSun"/>
          <w:i/>
          <w:iCs/>
          <w:color w:val="000000"/>
          <w:sz w:val="24"/>
          <w:szCs w:val="24"/>
        </w:rPr>
        <w:t xml:space="preserve">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当数据可视化被用于呈现这部百回巨著时，可视化的面貌却惊人的单一：白底、蓝紫色板、圆角卡片、标准折线图柱状图——界面设计良好，却仿佛与所呈现的文本无关。叙事学者近年对"故事"提出本体论质疑：故事不是静态原典，而是包含所有变体的"故事云"，每次讲述都改变其形状①。若故事形态是流动的，呈现故事的可视化为何要凝固成一套西式界面语法？如 Drucker 所言，界面不是中立容器，每一图形惯例都承载认识论假设②。当《西游记》的妖怪谱系被画成标准饼图，可视化在"转译"文本的同时也在"规训"文本。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回答基于一项实证工作——一个以《西游记》为对象的数字人文可视化项目：100 回逐回解读、615 篇文档、86 个 D3.js/Three.js 交互可视化页③。在生产过程中发展出「新中式·数字雅集」设计系统。本文论证的重点不是这 86 页的视觉品质，而是系统的可复制性：本土美学被写进设计令牌、动效规范与验证门禁，构成一套可迁移的方法论。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等在《Digital Literary Mapping》系列中更进一步，区分了以真实世界为底图的 GIS 制图与以文本内部关系为对象的"拓扑制图"，主张文学地图应逼近巴赫金意义上的"时空体"而非单纯的地理再现⑤；国内最醒目成果是华东师大《西游记》文学探索地图（2023 CaGIS 学生组 Arthur Robinson 荣誉提名奖），以唐代疆域为底图标注取经路线与关键事件⑥——但产品形态多为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，色彩、动效、交互等视觉决策服务于单图叙事，而非一套可复用的系统。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：史卓等以共词分析与知识图谱、故事线可视化"激流三部曲"⑦，赵薇以社会网络分析中文小说《大波》⑧，其视觉决策以图论布局算法为主导，美学选择服务于算法可读性而非文本的文化属性。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等综述显示该领域已从"搜索与网格"走向丰富交互形态，但主要服务博物馆藏品而非文学文本⑨；Trocchianesi 与 Bollini 提出设计与数字人文应建立协作模型，而非停留于"为数据开发工具"⑩，案例亦不在文学文本领域。</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局部借用散见于设计实践，但多为单件作品的装饰性选择；文学地图画出了空间，图谱画出了结构，而宣纸与墨、留白与点醒、克制的动效与可及的交互——这些属于文化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，视觉语言与文本文化母题脱节——蓝紫色系、灰度网格与卡片式仪表盘承自现代主义以降的功能主义设计传统[3]，与文本自身的文化语境无关；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，动效与交互缺乏文化语义——动效缺少规范约束，也未与文本的节奏和意象建立关联；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篇解读与站内对话入口共享同一组令牌与组件，如诸艺同席；读者在站点中游观、检索与问答，如入一场持续展开的雅集。</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 #221D16、墨↔宣纸字 #F2EBDC、朱砂提亮 #E0604F），页面代码零改动。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调和"文化语义"与"数据编码"：图表雅集系列色板（表 2）全取自同一水墨矿物色族保证多系列统一，语义色（accent/rebel/ok/warn/danger）与之错开。经典用例是八十一难难度热力图（详见案例二）以"米白→暗朱"五级色阶替代红绿渐变：五个锚点明度单调递减，色弱读者靠明度即可区分，且色相始终不脱离水墨矿物色族，与文本气质一致。</w:t>
      </w:r>
    </w:p>
    <w:p>
      <w:pPr>
        <w:keepNext/>
        <w:spacing w:after="80" w:before="200" w:line="360"/>
        <w:jc w:val="center"/>
      </w:pPr>
      <w:r>
        <w:rPr>
          <w:rFonts w:ascii="Times New Roman" w:eastAsia="SimSun"/>
          <w:b/>
          <w:bCs/>
          <w:color w:val="000000"/>
          <w:sz w:val="21"/>
          <w:szCs w:val="21"/>
        </w:rPr>
        <w:t xml:space="preserve">表 2　雅集系列色板（--chart-1 至 --chart-6）</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2%"/>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色名</w:t>
            </w:r>
          </w:p>
        </w:tc>
        <w:tc>
          <w:tcPr>
            <w:tcW w:type="pct" w:w="4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--chart-1</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--chart-2</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--chart-3</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赭金</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#C9A063</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--chart-4</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苔绿</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#6B8E5A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--chart-5</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米灰</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#D8CFBC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--chart-6</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赭石（备用系列）</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#8A6D3B</w:t>
            </w:r>
          </w:p>
        </w:tc>
      </w:tr>
    </w:tbl>
    <w:p>
      <w:pPr>
        <w:spacing w:after="120" w:line="360"/>
      </w:pP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多数项目对动效的处理趋于两极——或全然缺席，或过度堆叠——共同原因在于</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 + 缓动三系 + 双守卫"三件套写进令牌与全局降级规则，可被任何页面引用、被脚本校验、被第三方复核。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reveal）。原则是"快反馈、缓叙事"：需要即时响应的交互用最短档，承担叙事功能的入场用最长档，中间档负责一切状态变化；契约之外不设第四档时长。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ease；三条曲线的 cubic-bezier 取值见表 3。例外须显式登记——统计数字 count-up 以 900ms easeOutExpo 作"白名单例外"，理由是数字增长是"宣告"型动效，需要更长的叙事时间与更果断的抵达感；契约允许例外，但例外必须显式登记并说明理由，以防例外累积侵蚀契约本身。</w:t>
      </w:r>
    </w:p>
    <w:p>
      <w:pPr>
        <w:keepNext/>
        <w:spacing w:after="80" w:before="200" w:line="360"/>
        <w:jc w:val="center"/>
      </w:pPr>
      <w:r>
        <w:rPr>
          <w:rFonts w:ascii="Times New Roman" w:eastAsia="SimSun"/>
          <w:b/>
          <w:bCs/>
          <w:color w:val="000000"/>
          <w:sz w:val="21"/>
          <w:szCs w:val="21"/>
        </w:rPr>
        <w:t xml:space="preserve">表 3　动效契约</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类型</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令牌/机制</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取值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用途</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即时反馈</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--dur-fast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150ms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按压、hover</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状态变化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--dur-base</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卡片浮起、tooltip</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叙事过渡</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--dur-slow</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500ms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图表入场、区块 reveal</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默认缓动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--ease-out-quart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cubic-bezier(0.25, 1, 0.5,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均匀精致</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大位移入场</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--ease-out-expo</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cubic-bezier(0.16, 1, 0.3,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果断自信</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展开收起</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--ease-in-out-soft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cubic-bezier(0.65, 0, 0.35,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往返对称</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白名单例外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count-up（脚本级豁免·非令牌）</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900ms easeOutExpo</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数字增长"宣告"型动效</w:t>
            </w:r>
          </w:p>
        </w:tc>
      </w:tr>
    </w:tbl>
    <w:p>
      <w:pPr>
        <w:spacing w:after="120" w:line="360"/>
      </w:pP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2（JS）：matchMedia('(prefers-reduced-motion: reduce)').matches 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5）逐层拆解"数据结构→视觉映射→交互决策→可及性适配"的完整链路，构成对系统复用性的严格检验——三种形态恰好覆盖节点、格子、路径三种视觉编码。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以内嵌对象随页面分发，无需网络请求。视觉映射上，四集团映射为朱砂/靛蓝/褐/苔绿——取自雅集系列色板同族色而非网络可视化默认彩虹色，"势力"一眼可辨，次级分组只在集团色内做明度变化、不引入新色相；布局参数克制收敛（alphaDecay 0.08、velocityDecay 0.5、连线距离 80px），避免力导向图长时间振荡。交互上，节点拖拽、悬停高亮关联边、tooltip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这不是通用红绿热力图的替代品，而是把"难度"编码进同一矿物色族明暗深浅的语义通道；末端落在暗朱红，使"最难"与"反派色"色相家族同源。这一色阶天然色觉友好：五个锚点明度单调递减，色弱读者靠明度即可区分，无需依赖色相（对应症候三的回应）。交互上，格子悬停展示 tooltip、阶段过滤与起因图例支撑"哪一阶段的难更重"的读图问题。可及性上，SVG 声明 role="img" 与 aria-labelledby，读屏可获文字摘要；tooltip 在窄视口收窄。</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这在数据层印证了"零外域依赖"的可复制性主张。视觉映射上，路线以"回目为时间轴+地点为节点"排布，事件（收悟空、三打白骨精、取得真经）成为节点注记——不是绘制地理疆域上的路线投影，而是把路线组织成可阅读的叙事序列，回应了文学制图应逼近文本内部时空关系而非真实地理的主张⑤，是对单幅获奖地图"系统化"的差异化。交互上，地点悬停/点击展示事件详情与类型筛选联动。可及性上，节点以"类型图标+色带+文字标签"三重冗余编码，不单靠颜色，触屏点击与桌面悬停双通道。</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spacing w:line="360"/>
        <w:ind w:firstLine="480"/>
        <w:jc w:val="both"/>
      </w:pPr>
      <w:r>
        <w:rPr>
          <w:rFonts w:ascii="Times New Roman" w:eastAsia="SimSun"/>
          <w:b/>
          <w:bCs/>
          <w:color w:val="000000"/>
          <w:sz w:val="24"/>
          <w:szCs w:val="24"/>
        </w:rPr>
        <w:t xml:space="preserve">用户研究</w:t>
      </w:r>
      <w:r>
        <w:rPr>
          <w:rFonts w:ascii="Times New Roman" w:eastAsia="SimSun"/>
          <w:color w:val="000000"/>
          <w:sz w:val="24"/>
          <w:szCs w:val="24"/>
        </w:rPr>
        <w:t xml:space="preserve">（独立验证·设计已定稿，尚未执行）：参考 Chen 等 20 人可用性研究范式⑮，设计小样本双条件对比——10-20 人，条件 A 新中式系统 vs 条件 B 通用模板（同数据同布局），任务为三页读图，指标为审美偏好（Likert）、任务完成时间、对比度自评（研究设计见图 6）。两条假设：H1，偏好 A 显著更高（依文化内偏好理论⑭）；H2，效率无实际差异（等效性检验）。若两假设均成立，"本土美学不以牺牲可读性为代价"这一核心主张获得实证支撑；若偏好不显著，则审美论证退回学理层面。研究设计已定稿、尚未执行，故本文暂不报告实证结果。用户研究是设计系统主张的证伪器，而非装饰附录。</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2194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keepNext/>
        <w:spacing w:before="200" w:line="360"/>
        <w:jc w:val="center"/>
      </w:pPr>
      <w:r>
        <w:drawing>
          <wp:inline distT="0" distB="0" distL="0" distR="0">
            <wp:extent cx="5143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6098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6　用户研究设计示意（来源：作者自绘）</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修补式治理往往反复且只治表。本文把可及性重构为设计维度，三件套：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3:1）⑯在令牌定义阶段即满足，而非事后校验；浅墨（--ink-soft）在"层级可辨"与"对比达标"间取交点。双主题是同一令牌的两次求值，各自独立过 AA 线；theme-init.js 先读用户偏好、无则跟随系统、body 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：可及性不止于对比度，设计系统把交互分成三条通道分别治理。键盘通道统一 :focus-visible 朱砂描边，任何键盘到达的交互元素都有明确焦点指示（WCAG 2.4.13）；悬停才出现的交互（tooltip、拖拽）全部需要键盘可达——拖拽元素提供键盘替代（WCAG 2.5.7），人物网络的节点选中因此不依赖拖拽。触屏通道以 ≤640px 视口降级（图例纵排、tooltip 收窄），tap 替代 hover 为首要交互，第 5 节三个案例均以此设计。读屏通道图表 SVG 声明 role="img" + aria-labelledby，读屏获得结构化文字摘要而非"一团图形"。三条通道共享同一套令牌与组件，新增页面不必重复设计三条适配。</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相关准则/检查项，扫描全站，问题分 P0 阻断/P1 严重/P2 一般/P3 提示，</w:t>
      </w:r>
      <w:r>
        <w:rPr>
          <w:rFonts w:ascii="Times New Roman" w:eastAsia="SimSun"/>
          <w:b/>
          <w:bCs/>
          <w:color w:val="000000"/>
          <w:sz w:val="24"/>
          <w:szCs w:val="24"/>
        </w:rPr>
        <w:t xml:space="preserve">退出码 0 仅当 P0=0，P0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页，按"文字反白→离散色映射→连续色阶运行时提升"三阶段治理，终达不可见文本 0 处、缺陷页 0、页面错误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内容层改文案不动数据视觉，数据层改数值不动文案视觉，视觉层改样式不动内容数据。关键在"解耦"：它不是一条管线，而是贯穿全项目的组织原则——令牌三层模型是它在样式层的投影、动效契约是行为层的投影、a11y 门禁是质量层的投影。86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局限亦须诚实交代：其一，用户研究尚未执行，审美偏好仍是预期而非结果，论文主张的实证支撑有待样本数据补强；其二，86 页规模虽大，但迁移路径（三国/红楼）尚未真实施作，仍是方法论主张而非实证；其三，暗色治理的经验数据来自单一项目，其普遍性有待跨项目检验。到那时，"新中式·数字雅集"将不仅是一套设计系统，而可成为中国古典文学数字人文研究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Korean Studies, 2023, 47(1): 117-144.</w:t>
      </w:r>
    </w:p>
    <w:p>
      <w:pPr>
        <w:spacing w:line="360"/>
        <w:ind w:left="420" w:hanging="420"/>
        <w:jc w:val="both"/>
      </w:pPr>
      <w:r>
        <w:rPr>
          <w:rFonts w:ascii="Times New Roman" w:eastAsia="SimSun"/>
          <w:color w:val="000000"/>
          <w:sz w:val="21"/>
          <w:szCs w:val="21"/>
        </w:rPr>
        <w:t xml:space="preserve">② Drucker J. Humanities Approaches to Graphical Display[J]. Digital Humanities Quarterly, 2011, 5(1).</w:t>
      </w:r>
    </w:p>
    <w:p>
      <w:pPr>
        <w:spacing w:line="360"/>
        <w:ind w:left="420" w:hanging="420"/>
        <w:jc w:val="both"/>
      </w:pPr>
      <w:r>
        <w:rPr>
          <w:rFonts w:ascii="Times New Roman" w:eastAsia="SimSun"/>
          <w:color w:val="000000"/>
          <w:sz w:val="21"/>
          <w:szCs w:val="21"/>
        </w:rPr>
        <w:t xml:space="preserve">③ 佚名. 以《西游记》为对象的数字人文可视化项目[EB/OL].（匿名：项目信息投稿时随作者信息一并提供）</w:t>
      </w:r>
    </w:p>
    <w:p>
      <w:pPr>
        <w:spacing w:line="360"/>
        <w:ind w:left="420" w:hanging="420"/>
        <w:jc w:val="both"/>
      </w:pPr>
      <w:r>
        <w:rPr>
          <w:rFonts w:ascii="Times New Roman" w:eastAsia="SimSun"/>
          <w:color w:val="000000"/>
          <w:sz w:val="21"/>
          <w:szCs w:val="21"/>
        </w:rPr>
        <w:t xml:space="preserve">④ Cooper D, Gregory I. Mapping the English Lake District: a literary GIS[J]. Transactions of the Institute of British Geographers,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Cartographica, 2022, 57(1): 11-36.</w:t>
      </w:r>
    </w:p>
    <w:p>
      <w:pPr>
        <w:spacing w:line="360"/>
        <w:ind w:left="420" w:hanging="420"/>
        <w:jc w:val="both"/>
      </w:pPr>
      <w:r>
        <w:rPr>
          <w:rFonts w:ascii="Times New Roman" w:eastAsia="SimSun"/>
          <w:color w:val="000000"/>
          <w:sz w:val="21"/>
          <w:szCs w:val="21"/>
        </w:rPr>
        <w:t xml:space="preserve">⑥ 华东师范大学地理科学学院. 《西游记》文学探索地图[EB/OL]. 2023 CaGIS 年度地图设计大赛学生组 Arthur Robinson 荣誉提名奖. https://geo.ecnu.edu.cn［2026-09-23 引用］.</w:t>
      </w:r>
    </w:p>
    <w:p>
      <w:pPr>
        <w:spacing w:line="360"/>
        <w:ind w:left="420" w:hanging="420"/>
        <w:jc w:val="both"/>
      </w:pPr>
      <w:r>
        <w:rPr>
          <w:rFonts w:ascii="Times New Roman" w:eastAsia="SimSun"/>
          <w:color w:val="000000"/>
          <w:sz w:val="21"/>
          <w:szCs w:val="21"/>
        </w:rPr>
        <w:t xml:space="preserve">⑦ 史卓, 王萌, 曾树珍, 等. 基于知识图谱的文学叙事可视化研究[J]. 中国科技论文, 2023, 18(11): 1230-1235,1243.</w:t>
      </w:r>
    </w:p>
    <w:p>
      <w:pPr>
        <w:spacing w:line="360"/>
        <w:ind w:left="420" w:hanging="420"/>
        <w:jc w:val="both"/>
      </w:pPr>
      <w:r>
        <w:rPr>
          <w:rFonts w:ascii="Times New Roman" w:eastAsia="SimSun"/>
          <w:color w:val="000000"/>
          <w:sz w:val="21"/>
          <w:szCs w:val="21"/>
        </w:rPr>
        <w:t xml:space="preserve">⑧ 赵薇. 社会网络分析与"《大波》三部曲"的人物功能[J]. 山东社会科学, 2018(9).</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IEEE Transactions on Visualization and Computer Graphics,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Multimodal Technologies and Interaction,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PLOS ONE, 2026.</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Digital Scholarship in the Humanities, 2024, 39(1): 308-320.</w:t>
      </w:r>
    </w:p>
    <w:p>
      <w:pPr>
        <w:spacing w:line="360"/>
        <w:ind w:left="420" w:hanging="420"/>
        <w:jc w:val="both"/>
      </w:pPr>
      <w:r>
        <w:rPr>
          <w:rFonts w:ascii="Times New Roman" w:eastAsia="SimSun"/>
          <w:color w:val="000000"/>
          <w:sz w:val="21"/>
          <w:szCs w:val="21"/>
        </w:rPr>
        <w:t xml:space="preserve">⑬ Fan Z B, Zhang K. Visual order of Chinese ink paintings[J]. Visual Computing for Industry, Biomedicine, and Art,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Frontiers in Psychology, 2019, 10: 798.</w:t>
      </w:r>
    </w:p>
    <w:p>
      <w:pPr>
        <w:spacing w:line="360"/>
        <w:ind w:left="420" w:hanging="420"/>
        <w:jc w:val="both"/>
      </w:pPr>
      <w:r>
        <w:rPr>
          <w:rFonts w:ascii="Times New Roman" w:eastAsia="SimSun"/>
          <w:color w:val="000000"/>
          <w:sz w:val="21"/>
          <w:szCs w:val="21"/>
        </w:rPr>
        <w:t xml:space="preserve">⑮ Chen Z, Xie A, Liu Y, et al. From Myth to Interface: An AI-Augmented Interactive Visual System for Exploring Artifact Interactions in Journey to the West[C]//International Symposium on Visual Information Communication and Interaction (VINCI). ACM, 2025: 58:1-58:8.</w:t>
      </w:r>
    </w:p>
    <w:p>
      <w:pPr>
        <w:spacing w:line="360"/>
        <w:ind w:left="420" w:hanging="420"/>
        <w:jc w:val="both"/>
      </w:pPr>
      <w:r>
        <w:rPr>
          <w:rFonts w:ascii="Times New Roman" w:eastAsia="SimSun"/>
          <w:color w:val="000000"/>
          <w:sz w:val="21"/>
          <w:szCs w:val="21"/>
        </w:rPr>
        <w:t xml:space="preserve">⑯ W3C. Web Content Accessibility Guidelines (WCAG) 2.2[S/OL]. https://www.w3.org/TR/WCAG22/［2026-09-23 引用］.</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鲁道夫·阿恩海姆. 艺术与视知觉[M]. 滕守尧, 朱疆源, 译. 成都: 四川人民出版社, 1998.</w:t>
      </w:r>
    </w:p>
    <w:p>
      <w:pPr>
        <w:spacing w:line="360"/>
        <w:ind w:left="420" w:hanging="420"/>
        <w:jc w:val="both"/>
      </w:pPr>
      <w:r>
        <w:rPr>
          <w:rFonts w:ascii="Times New Roman" w:eastAsia="SimSun"/>
          <w:color w:val="000000"/>
          <w:sz w:val="21"/>
          <w:szCs w:val="21"/>
        </w:rPr>
        <w:t xml:space="preserve">[2] 蒲安迪. 明代小说四大奇书[M]. 沈亨寿, 译. 北京: 中国和平出版社, 1993.</w:t>
      </w:r>
    </w:p>
    <w:p>
      <w:pPr>
        <w:spacing w:line="360"/>
        <w:ind w:left="420" w:hanging="420"/>
        <w:jc w:val="both"/>
      </w:pPr>
      <w:r>
        <w:rPr>
          <w:rFonts w:ascii="Times New Roman" w:eastAsia="SimSun"/>
          <w:color w:val="000000"/>
          <w:sz w:val="21"/>
          <w:szCs w:val="21"/>
        </w:rPr>
        <w:t xml:space="preserve">[3] 王受之. 世界现代设计史[M]. 北京: 中国青年出版社, 2002.</w:t>
      </w:r>
    </w:p>
    <w:p>
      <w:pPr>
        <w:spacing w:line="360"/>
        <w:ind w:left="420" w:hanging="420"/>
        <w:jc w:val="both"/>
      </w:pPr>
      <w:r>
        <w:rPr>
          <w:rFonts w:ascii="Times New Roman" w:eastAsia="SimSun"/>
          <w:color w:val="000000"/>
          <w:sz w:val="21"/>
          <w:szCs w:val="21"/>
        </w:rPr>
        <w:t xml:space="preserve">[4] 李砚祖. 设计学概论[M]. 武汉: 湖北美术出版社, 2009.</w:t>
      </w:r>
    </w:p>
    <w:p>
      <w:pPr>
        <w:spacing w:line="360"/>
        <w:ind w:left="420" w:hanging="420"/>
        <w:jc w:val="both"/>
      </w:pPr>
      <w:r>
        <w:rPr>
          <w:rFonts w:ascii="Times New Roman" w:eastAsia="SimSun"/>
          <w:color w:val="000000"/>
          <w:sz w:val="21"/>
          <w:szCs w:val="21"/>
        </w:rPr>
        <w:t xml:space="preserve">[5] 竺洪波. 西游学十二讲[M]. 北京: 中华书局, 2018.</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5abb57983d8c69ce82feeec20890dfbfc5d13268.png"/><Relationship Id="rId13" Type="http://schemas.openxmlformats.org/officeDocument/2006/relationships/image" Target="media/f26eb5782e128244c4bc7f565f712f446718997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2026-09-22T17:45:46.933Z</dcterms:created>
  <dcterms:modified xsi:type="dcterms:W3CDTF">2026-09-22T17:45:46.934Z</dcterms:modified>
</cp:coreProperties>
</file>

<file path=docProps/custom.xml><?xml version="1.0" encoding="utf-8"?>
<Properties xmlns="http://schemas.openxmlformats.org/officeDocument/2006/custom-properties" xmlns:vt="http://schemas.openxmlformats.org/officeDocument/2006/docPropsVTypes"/>
</file>