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간호인력 연구를 이해하는 쉬운 설명</w:t>
      </w:r>
    </w:p>
    <w:p>
      <w:pPr>
        <w:pStyle w:val="Subtitle"/>
      </w:pPr>
      <w:r>
        <w:t>송지수  |  2026년 9월 20일</w:t>
      </w:r>
    </w:p>
    <w:p>
      <w:r>
        <w:t>월간 근무표가 편성되는 데 필요한 인원을 합성 사례로 연구했습니다. 계산은 끝났지만, 관측한 일부 인원 구간의 성공 지점을 전체 범위의 최소 인원으로 해석한 문제를 발견했습니다. 수정 원고는 가능한 최소 인원의 집합과 자료의 한계를 명시합니다.</w:t>
      </w:r>
    </w:p>
    <w:p>
      <w:r>
        <w:t>기존의 예측모형 우월성, 산술 요인과 조합 요인의 확정적 비중, 실제 병동에 바로 적용할 인력 산식이라는 해석은 이번 자료로 입증되지 않았습니다. 이 보고서는 그 정정을 반영합니다.</w:t>
      </w:r>
    </w:p>
    <w:p>
      <w:pPr>
        <w:pStyle w:val="Heading1"/>
      </w:pPr>
      <w:r>
        <w:t>무엇을 계산했나</w:t>
      </w:r>
    </w:p>
    <w:p>
      <w:r>
        <w:t>하루에 필요한 근무 인원 W와 휴무·야간·이월 조건을 주면, 주어진 직원 수로 모든 하드 제약을 지키는 근무표가 존재하는지 계산합니다. W는 외부에서 주는 수요이며, 이 연구가 환자 수에서 적정 수요를 추정하는 것은 아닙니다. 직원 수와 연간 상근환산인력 FTE도 구분합니다.</w:t>
      </w:r>
    </w:p>
    <w:p>
      <w:r>
        <w:t>F는 편성 가능, I는 불가능이 증명된 경우, T는 제한 시간 내 결정되지 않은 경우입니다. T를 실패나 성공으로 임의 치환하지 않습니다. 성공 문턱은 기존 95%를 유지했습니다.</w:t>
      </w:r>
    </w:p>
    <w:p>
      <w:pPr>
        <w:pStyle w:val="Heading1"/>
      </w:pPr>
      <w:r>
        <w:t>방문하지 않은 계단이 남아 있다</w:t>
      </w:r>
    </w:p>
    <w:p>
      <w:r>
        <w:t>계단 몇 칸을 골라 문턱을 넘는지 살펴봤다고 생각해 보세요. 높은 칸에서 처음 관측한 성공이 전체 계단의 첫 성공은 아닐 수 있습니다. 방문하지 않은 낮은 칸에서도 성공했을 수 있기 때문입니다. 이번 정정은 그런 칸을 후보에서 빼지 않는 것입니다.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48"/>
        <w:gridCol w:w="6463"/>
      </w:tblGrid>
      <w:tr>
        <w:trPr>
          <w:tblHeader/>
        </w:trPr>
        <w:tc>
          <w:tcPr>
            <w:tcW w:type="dxa" w:w="2948"/>
            <w:vAlign w:val="center"/>
            <w:tcMar>
              <w:top w:w="100" w:type="dxa"/>
              <w:left w:w="100" w:type="dxa"/>
              <w:bottom w:w="100" w:type="dxa"/>
              <w:right w:w="100" w:type="dxa"/>
            </w:tcMar>
            <w:shd w:fill="E5EDF1"/>
          </w:tcPr>
          <w:p>
            <w:pPr>
              <w:spacing w:after="60"/>
            </w:pPr>
            <w:r>
              <w:rPr>
                <w:b/>
                <w:sz w:val="20"/>
              </w:rPr>
              <w:t>이런 질문이 나올 수 있어요</w:t>
            </w:r>
          </w:p>
        </w:tc>
        <w:tc>
          <w:tcPr>
            <w:tcW w:type="dxa" w:w="6463"/>
            <w:vAlign w:val="center"/>
            <w:tcMar>
              <w:top w:w="100" w:type="dxa"/>
              <w:left w:w="100" w:type="dxa"/>
              <w:bottom w:w="100" w:type="dxa"/>
              <w:right w:w="100" w:type="dxa"/>
            </w:tcMar>
            <w:shd w:fill="E5EDF1"/>
          </w:tcPr>
          <w:p>
            <w:pPr>
              <w:spacing w:after="60"/>
            </w:pPr>
            <w:r>
              <w:rPr>
                <w:b/>
                <w:sz w:val="20"/>
              </w:rPr>
              <w:t>쉬운 설명</w:t>
            </w:r>
          </w:p>
        </w:tc>
      </w:tr>
      <w:tr>
        <w:tc>
          <w:tcPr>
            <w:tcW w:type="dxa" w:w="2948"/>
            <w:vAlign w:val="center"/>
            <w:tcMar>
              <w:top w:w="100" w:type="dxa"/>
              <w:left w:w="100" w:type="dxa"/>
              <w:bottom w:w="100" w:type="dxa"/>
              <w:right w:w="100" w:type="dxa"/>
            </w:tcMar>
          </w:tcPr>
          <w:p>
            <w:pPr>
              <w:spacing w:after="60"/>
            </w:pPr>
            <w:r>
              <w:rPr>
                <w:b w:val="0"/>
                <w:sz w:val="20"/>
              </w:rPr>
              <w:t>사람이 늘면 항상 편성이 쉬워지지 않나요</w:t>
            </w:r>
          </w:p>
        </w:tc>
        <w:tc>
          <w:tcPr>
            <w:tcW w:type="dxa" w:w="6463"/>
            <w:vAlign w:val="center"/>
            <w:tcMar>
              <w:top w:w="100" w:type="dxa"/>
              <w:left w:w="100" w:type="dxa"/>
              <w:bottom w:w="100" w:type="dxa"/>
              <w:right w:w="100" w:type="dxa"/>
            </w:tcMar>
          </w:tcPr>
          <w:p>
            <w:pPr>
              <w:spacing w:after="60"/>
            </w:pPr>
            <w:r>
              <w:rPr>
                <w:b w:val="0"/>
                <w:sz w:val="20"/>
              </w:rPr>
              <w:t>합성 사례가 인원과 함께 달라지고 표본 변동도 있습니다. 이번 관측률에 단조 증가를 강제로 가정할 수 없습니다.</w:t>
            </w:r>
          </w:p>
        </w:tc>
      </w:tr>
      <w:tr>
        <w:tc>
          <w:tcPr>
            <w:tcW w:type="dxa" w:w="2948"/>
            <w:vAlign w:val="center"/>
            <w:tcMar>
              <w:top w:w="100" w:type="dxa"/>
              <w:left w:w="100" w:type="dxa"/>
              <w:bottom w:w="100" w:type="dxa"/>
              <w:right w:w="100" w:type="dxa"/>
            </w:tcMar>
          </w:tcPr>
          <w:p>
            <w:pPr>
              <w:spacing w:after="60"/>
            </w:pPr>
            <w:r>
              <w:rPr>
                <w:b w:val="0"/>
                <w:sz w:val="20"/>
              </w:rPr>
              <w:t>결정되지 않은 T는 어떻게 하나요</w:t>
            </w:r>
          </w:p>
        </w:tc>
        <w:tc>
          <w:tcPr>
            <w:tcW w:type="dxa" w:w="6463"/>
            <w:vAlign w:val="center"/>
            <w:tcMar>
              <w:top w:w="100" w:type="dxa"/>
              <w:left w:w="100" w:type="dxa"/>
              <w:bottom w:w="100" w:type="dxa"/>
              <w:right w:w="100" w:type="dxa"/>
            </w:tcMar>
          </w:tcPr>
          <w:p>
            <w:pPr>
              <w:spacing w:after="60"/>
            </w:pPr>
            <w:r>
              <w:rPr>
                <w:b w:val="0"/>
                <w:sz w:val="20"/>
              </w:rPr>
              <w:t>성공과 실패 모두 가능한 상태로 남겨 계산합니다. 다만 그 가능 구간은 통계적인 신뢰구간과 다릅니다.</w:t>
            </w:r>
          </w:p>
        </w:tc>
      </w:tr>
    </w:tbl>
    <w:p/>
    <w:p>
      <w:r>
        <w:br w:type="page"/>
      </w:r>
    </w:p>
    <w:p>
      <w:pPr>
        <w:pStyle w:val="Heading1"/>
      </w:pPr>
      <w:r>
        <w:t>새 조건에서 확인한 범위</w:t>
      </w:r>
    </w:p>
    <w:p>
      <w:r>
        <w:t>검증 단계 D는 64개 조건으로 설계됐습니다. 예측 구간을 정하지 못해 관측하지 않은 16개를 제외하고 48개를 계산했습니다. 아래 분모는 계산한 조건이며 전체 설계나 실제 병동 모집단으로 넓혀 읽을 수 없습니다.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2"/>
        <w:gridCol w:w="1361"/>
        <w:gridCol w:w="4649"/>
      </w:tblGrid>
      <w:tr>
        <w:trPr>
          <w:tblHeader/>
        </w:trPr>
        <w:tc>
          <w:tcPr>
            <w:tcW w:type="dxa" w:w="3402"/>
            <w:vAlign w:val="center"/>
            <w:tcMar>
              <w:top w:w="100" w:type="dxa"/>
              <w:left w:w="100" w:type="dxa"/>
              <w:bottom w:w="100" w:type="dxa"/>
              <w:right w:w="100" w:type="dxa"/>
            </w:tcMar>
            <w:shd w:fill="E5EDF1"/>
          </w:tcPr>
          <w:p>
            <w:pPr>
              <w:spacing w:after="60"/>
            </w:pPr>
            <w:r>
              <w:rPr>
                <w:b/>
                <w:sz w:val="20"/>
              </w:rPr>
              <w:t>최소 인원의 후보 집합</w:t>
            </w:r>
          </w:p>
        </w:tc>
        <w:tc>
          <w:tcPr>
            <w:tcW w:type="dxa" w:w="1361"/>
            <w:vAlign w:val="center"/>
            <w:tcMar>
              <w:top w:w="100" w:type="dxa"/>
              <w:left w:w="100" w:type="dxa"/>
              <w:bottom w:w="100" w:type="dxa"/>
              <w:right w:w="100" w:type="dxa"/>
            </w:tcMar>
            <w:shd w:fill="E5EDF1"/>
          </w:tcPr>
          <w:p>
            <w:pPr>
              <w:spacing w:after="60"/>
              <w:jc w:val="center"/>
            </w:pPr>
            <w:r>
              <w:rPr>
                <w:b/>
                <w:sz w:val="20"/>
              </w:rPr>
              <w:t>D 조건 수</w:t>
            </w:r>
          </w:p>
        </w:tc>
        <w:tc>
          <w:tcPr>
            <w:tcW w:type="dxa" w:w="4649"/>
            <w:vAlign w:val="center"/>
            <w:tcMar>
              <w:top w:w="100" w:type="dxa"/>
              <w:left w:w="100" w:type="dxa"/>
              <w:bottom w:w="100" w:type="dxa"/>
              <w:right w:w="100" w:type="dxa"/>
            </w:tcMar>
            <w:shd w:fill="E5EDF1"/>
          </w:tcPr>
          <w:p>
            <w:pPr>
              <w:spacing w:after="60"/>
            </w:pPr>
            <w:r>
              <w:rPr>
                <w:b/>
                <w:sz w:val="20"/>
              </w:rPr>
              <w:t>해석</w:t>
            </w:r>
          </w:p>
        </w:tc>
      </w:tr>
      <w:tr>
        <w:tc>
          <w:tcPr>
            <w:tcW w:type="dxa" w:w="3402"/>
            <w:vAlign w:val="center"/>
            <w:tcMar>
              <w:top w:w="100" w:type="dxa"/>
              <w:left w:w="100" w:type="dxa"/>
              <w:bottom w:w="100" w:type="dxa"/>
              <w:right w:w="100" w:type="dxa"/>
            </w:tcMar>
          </w:tcPr>
          <w:p>
            <w:pPr>
              <w:spacing w:after="60"/>
            </w:pPr>
            <w:r>
              <w:rPr>
                <w:b w:val="0"/>
                <w:sz w:val="20"/>
              </w:rPr>
              <w:t>하나의 값</w:t>
            </w:r>
          </w:p>
        </w:tc>
        <w:tc>
          <w:tcPr>
            <w:tcW w:type="dxa" w:w="1361"/>
            <w:vAlign w:val="center"/>
            <w:tcMar>
              <w:top w:w="100" w:type="dxa"/>
              <w:left w:w="100" w:type="dxa"/>
              <w:bottom w:w="100" w:type="dxa"/>
              <w:right w:w="100" w:type="dxa"/>
            </w:tcMar>
          </w:tcPr>
          <w:p>
            <w:pPr>
              <w:spacing w:after="60"/>
              <w:jc w:val="center"/>
            </w:pPr>
            <w:r>
              <w:rPr>
                <w:b w:val="0"/>
                <w:sz w:val="20"/>
              </w:rPr>
              <w:t>10</w:t>
            </w:r>
          </w:p>
        </w:tc>
        <w:tc>
          <w:tcPr>
            <w:tcW w:type="dxa" w:w="4649"/>
            <w:vAlign w:val="center"/>
            <w:tcMar>
              <w:top w:w="100" w:type="dxa"/>
              <w:left w:w="100" w:type="dxa"/>
              <w:bottom w:w="100" w:type="dxa"/>
              <w:right w:w="100" w:type="dxa"/>
            </w:tcMar>
          </w:tcPr>
          <w:p>
            <w:pPr>
              <w:spacing w:after="60"/>
            </w:pPr>
            <w:r>
              <w:rPr>
                <w:b w:val="0"/>
                <w:sz w:val="20"/>
              </w:rPr>
              <w:t>보고된 유한 표본률을 고정했을 때 후보가 하나</w:t>
            </w:r>
          </w:p>
        </w:tc>
      </w:tr>
      <w:tr>
        <w:tc>
          <w:tcPr>
            <w:tcW w:type="dxa" w:w="3402"/>
            <w:vAlign w:val="center"/>
            <w:tcMar>
              <w:top w:w="100" w:type="dxa"/>
              <w:left w:w="100" w:type="dxa"/>
              <w:bottom w:w="100" w:type="dxa"/>
              <w:right w:w="100" w:type="dxa"/>
            </w:tcMar>
          </w:tcPr>
          <w:p>
            <w:pPr>
              <w:spacing w:after="60"/>
            </w:pPr>
            <w:r>
              <w:rPr>
                <w:b w:val="0"/>
                <w:sz w:val="20"/>
              </w:rPr>
              <w:t>유한한 여러 값</w:t>
            </w:r>
          </w:p>
        </w:tc>
        <w:tc>
          <w:tcPr>
            <w:tcW w:type="dxa" w:w="1361"/>
            <w:vAlign w:val="center"/>
            <w:tcMar>
              <w:top w:w="100" w:type="dxa"/>
              <w:left w:w="100" w:type="dxa"/>
              <w:bottom w:w="100" w:type="dxa"/>
              <w:right w:w="100" w:type="dxa"/>
            </w:tcMar>
          </w:tcPr>
          <w:p>
            <w:pPr>
              <w:spacing w:after="60"/>
              <w:jc w:val="center"/>
            </w:pPr>
            <w:r>
              <w:rPr>
                <w:b w:val="0"/>
                <w:sz w:val="20"/>
              </w:rPr>
              <w:t>26</w:t>
            </w:r>
          </w:p>
        </w:tc>
        <w:tc>
          <w:tcPr>
            <w:tcW w:type="dxa" w:w="4649"/>
            <w:vAlign w:val="center"/>
            <w:tcMar>
              <w:top w:w="100" w:type="dxa"/>
              <w:left w:w="100" w:type="dxa"/>
              <w:bottom w:w="100" w:type="dxa"/>
              <w:right w:w="100" w:type="dxa"/>
            </w:tcMar>
          </w:tcPr>
          <w:p>
            <w:pPr>
              <w:spacing w:after="60"/>
            </w:pPr>
            <w:r>
              <w:rPr>
                <w:b w:val="0"/>
                <w:sz w:val="20"/>
              </w:rPr>
              <w:t>미관측 구간 등을 포함해 후보가 여럿</w:t>
            </w:r>
          </w:p>
        </w:tc>
      </w:tr>
      <w:tr>
        <w:tc>
          <w:tcPr>
            <w:tcW w:type="dxa" w:w="3402"/>
            <w:vAlign w:val="center"/>
            <w:tcMar>
              <w:top w:w="100" w:type="dxa"/>
              <w:left w:w="100" w:type="dxa"/>
              <w:bottom w:w="100" w:type="dxa"/>
              <w:right w:w="100" w:type="dxa"/>
            </w:tcMar>
          </w:tcPr>
          <w:p>
            <w:pPr>
              <w:spacing w:after="60"/>
            </w:pPr>
            <w:r>
              <w:rPr>
                <w:b w:val="0"/>
                <w:sz w:val="20"/>
              </w:rPr>
              <w:t>상한 미확정 또는 미도달</w:t>
            </w:r>
          </w:p>
        </w:tc>
        <w:tc>
          <w:tcPr>
            <w:tcW w:type="dxa" w:w="1361"/>
            <w:vAlign w:val="center"/>
            <w:tcMar>
              <w:top w:w="100" w:type="dxa"/>
              <w:left w:w="100" w:type="dxa"/>
              <w:bottom w:w="100" w:type="dxa"/>
              <w:right w:w="100" w:type="dxa"/>
            </w:tcMar>
          </w:tcPr>
          <w:p>
            <w:pPr>
              <w:spacing w:after="60"/>
              <w:jc w:val="center"/>
            </w:pPr>
            <w:r>
              <w:rPr>
                <w:b w:val="0"/>
                <w:sz w:val="20"/>
              </w:rPr>
              <w:t>12</w:t>
            </w:r>
          </w:p>
        </w:tc>
        <w:tc>
          <w:tcPr>
            <w:tcW w:type="dxa" w:w="4649"/>
            <w:vAlign w:val="center"/>
            <w:tcMar>
              <w:top w:w="100" w:type="dxa"/>
              <w:left w:w="100" w:type="dxa"/>
              <w:bottom w:w="100" w:type="dxa"/>
              <w:right w:w="100" w:type="dxa"/>
            </w:tcMar>
          </w:tcPr>
          <w:p>
            <w:pPr>
              <w:spacing w:after="60"/>
            </w:pPr>
            <w:r>
              <w:rPr>
                <w:b w:val="0"/>
                <w:sz w:val="20"/>
              </w:rPr>
              <w:t>더 큰 인원과 목표 미도달 가능성이 남음</w:t>
            </w:r>
          </w:p>
        </w:tc>
      </w:tr>
    </w:tbl>
    <w:p/>
    <w:p>
      <w:r>
        <w:t>이 집합은 미결정·미관측 결과를 논리적으로 채웠을 때의 가능성입니다. 모집단 최소 인원을 통계적 신뢰도로 특정한 결과나 신뢰구간은 아닙니다.</w:t>
      </w:r>
    </w:p>
    <w:p>
      <w:r>
        <w:t>지도와 보강 계산의 승격 계단 540개에서는 결정된 결과만 사용할 때 단일 후보가 252개, T까지 고려하면 240개였습니다. 두 실험 집합의 크기와 선택 방식은 다릅니다.</w:t>
      </w:r>
    </w:p>
    <w:p>
      <w:pPr>
        <w:pStyle w:val="Heading1"/>
      </w:pPr>
      <w:r>
        <w:t>좋은 점수보다 중요한 분모</w:t>
      </w:r>
    </w:p>
    <w:p>
      <w:r>
        <w:t>단일 후보 10개에서 잘 맞았더라도 관측한 48개 전체, 설계한 64개 전체, 실제 병동 전체에서 잘 맞는다고 말할 수 없습니다. 비교 대상이 어디에서 선택됐는지를 함께 밝혀야 합니다.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48"/>
        <w:gridCol w:w="6463"/>
      </w:tblGrid>
      <w:tr>
        <w:trPr>
          <w:tblHeader/>
        </w:trPr>
        <w:tc>
          <w:tcPr>
            <w:tcW w:type="dxa" w:w="2948"/>
            <w:vAlign w:val="center"/>
            <w:tcMar>
              <w:top w:w="100" w:type="dxa"/>
              <w:left w:w="100" w:type="dxa"/>
              <w:bottom w:w="100" w:type="dxa"/>
              <w:right w:w="100" w:type="dxa"/>
            </w:tcMar>
            <w:shd w:fill="E5EDF1"/>
          </w:tcPr>
          <w:p>
            <w:pPr>
              <w:spacing w:after="60"/>
            </w:pPr>
            <w:r>
              <w:rPr>
                <w:b/>
                <w:sz w:val="20"/>
              </w:rPr>
              <w:t>이런 질문이 나올 수 있어요</w:t>
            </w:r>
          </w:p>
        </w:tc>
        <w:tc>
          <w:tcPr>
            <w:tcW w:type="dxa" w:w="6463"/>
            <w:vAlign w:val="center"/>
            <w:tcMar>
              <w:top w:w="100" w:type="dxa"/>
              <w:left w:w="100" w:type="dxa"/>
              <w:bottom w:w="100" w:type="dxa"/>
              <w:right w:w="100" w:type="dxa"/>
            </w:tcMar>
            <w:shd w:fill="E5EDF1"/>
          </w:tcPr>
          <w:p>
            <w:pPr>
              <w:spacing w:after="60"/>
            </w:pPr>
            <w:r>
              <w:rPr>
                <w:b/>
                <w:sz w:val="20"/>
              </w:rPr>
              <w:t>쉬운 설명</w:t>
            </w:r>
          </w:p>
        </w:tc>
      </w:tr>
      <w:tr>
        <w:tc>
          <w:tcPr>
            <w:tcW w:type="dxa" w:w="2948"/>
            <w:vAlign w:val="center"/>
            <w:tcMar>
              <w:top w:w="100" w:type="dxa"/>
              <w:left w:w="100" w:type="dxa"/>
              <w:bottom w:w="100" w:type="dxa"/>
              <w:right w:w="100" w:type="dxa"/>
            </w:tcMar>
          </w:tcPr>
          <w:p>
            <w:pPr>
              <w:spacing w:after="60"/>
            </w:pPr>
            <w:r>
              <w:rPr>
                <w:b w:val="0"/>
                <w:sz w:val="20"/>
              </w:rPr>
              <w:t>그럼 이번 연구는 무엇을 남기나요</w:t>
            </w:r>
          </w:p>
        </w:tc>
        <w:tc>
          <w:tcPr>
            <w:tcW w:type="dxa" w:w="6463"/>
            <w:vAlign w:val="center"/>
            <w:tcMar>
              <w:top w:w="100" w:type="dxa"/>
              <w:left w:w="100" w:type="dxa"/>
              <w:bottom w:w="100" w:type="dxa"/>
              <w:right w:w="100" w:type="dxa"/>
            </w:tcMar>
          </w:tcPr>
          <w:p>
            <w:pPr>
              <w:spacing w:after="60"/>
            </w:pPr>
            <w:r>
              <w:rPr>
                <w:b w:val="0"/>
                <w:sz w:val="20"/>
              </w:rPr>
              <w:t>실행 기록과 정정 과정을 재현할 수 있고, 어떤 자료를 더 관측해야 최소 인원 주장을 할 수 있는지 보여줍니다.</w:t>
            </w:r>
          </w:p>
        </w:tc>
      </w:tr>
      <w:tr>
        <w:tc>
          <w:tcPr>
            <w:tcW w:type="dxa" w:w="2948"/>
            <w:vAlign w:val="center"/>
            <w:tcMar>
              <w:top w:w="100" w:type="dxa"/>
              <w:left w:w="100" w:type="dxa"/>
              <w:bottom w:w="100" w:type="dxa"/>
              <w:right w:w="100" w:type="dxa"/>
            </w:tcMar>
          </w:tcPr>
          <w:p>
            <w:pPr>
              <w:spacing w:after="60"/>
            </w:pPr>
            <w:r>
              <w:rPr>
                <w:b w:val="0"/>
                <w:sz w:val="20"/>
              </w:rPr>
              <w:t>기존 모형을 다시 고치면 되나요</w:t>
            </w:r>
          </w:p>
        </w:tc>
        <w:tc>
          <w:tcPr>
            <w:tcW w:type="dxa" w:w="6463"/>
            <w:vAlign w:val="center"/>
            <w:tcMar>
              <w:top w:w="100" w:type="dxa"/>
              <w:left w:w="100" w:type="dxa"/>
              <w:bottom w:w="100" w:type="dxa"/>
              <w:right w:w="100" w:type="dxa"/>
            </w:tcMar>
          </w:tcPr>
          <w:p>
            <w:pPr>
              <w:spacing w:after="60"/>
            </w:pPr>
            <w:r>
              <w:rPr>
                <w:b w:val="0"/>
                <w:sz w:val="20"/>
              </w:rPr>
              <w:t>새 학습은 별도 탐색 분석이 됩니다. 이미 확인한 검증자료를 새 자료처럼 사용해서는 안 됩니다.</w:t>
            </w:r>
          </w:p>
        </w:tc>
      </w:tr>
    </w:tbl>
    <w:p/>
    <w:p>
      <w:r>
        <w:br w:type="page"/>
      </w:r>
    </w:p>
    <w:p>
      <w:pPr>
        <w:pStyle w:val="Heading1"/>
      </w:pPr>
      <w:r>
        <w:t>모형 성능을 어디까지 말할 수 있나</w:t>
      </w:r>
    </w:p>
    <w:p>
      <w:r>
        <w:t>D에서 단일 후보가 나온 10개 중 8개는 산술 하한 N0에서 후보가 정해졌습니다. 이 부분집합은 산술 하한에 치우쳐 있습니다. N0 비교값은 결과를 본 뒤 추가한 비교이며, 예측모형을 다시 학습하지 않았습니다.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75"/>
        <w:gridCol w:w="2835"/>
        <w:gridCol w:w="3402"/>
      </w:tblGrid>
      <w:tr>
        <w:trPr>
          <w:tblHeader/>
        </w:trPr>
        <w:tc>
          <w:tcPr>
            <w:tcW w:type="dxa" w:w="3175"/>
            <w:vAlign w:val="center"/>
            <w:tcMar>
              <w:top w:w="100" w:type="dxa"/>
              <w:left w:w="100" w:type="dxa"/>
              <w:bottom w:w="100" w:type="dxa"/>
              <w:right w:w="100" w:type="dxa"/>
            </w:tcMar>
            <w:shd w:fill="E5EDF1"/>
          </w:tcPr>
          <w:p>
            <w:pPr>
              <w:spacing w:after="60"/>
            </w:pPr>
            <w:r>
              <w:rPr>
                <w:b/>
                <w:sz w:val="20"/>
              </w:rPr>
              <w:t>비교값</w:t>
            </w:r>
          </w:p>
        </w:tc>
        <w:tc>
          <w:tcPr>
            <w:tcW w:type="dxa" w:w="2835"/>
            <w:vAlign w:val="center"/>
            <w:tcMar>
              <w:top w:w="100" w:type="dxa"/>
              <w:left w:w="100" w:type="dxa"/>
              <w:bottom w:w="100" w:type="dxa"/>
              <w:right w:w="100" w:type="dxa"/>
            </w:tcMar>
            <w:shd w:fill="E5EDF1"/>
          </w:tcPr>
          <w:p>
            <w:pPr>
              <w:spacing w:after="60"/>
              <w:jc w:val="center"/>
            </w:pPr>
            <w:r>
              <w:rPr>
                <w:b/>
                <w:sz w:val="20"/>
              </w:rPr>
              <w:t>±1명 이내</w:t>
            </w:r>
          </w:p>
        </w:tc>
        <w:tc>
          <w:tcPr>
            <w:tcW w:type="dxa" w:w="3402"/>
            <w:vAlign w:val="center"/>
            <w:tcMar>
              <w:top w:w="100" w:type="dxa"/>
              <w:left w:w="100" w:type="dxa"/>
              <w:bottom w:w="100" w:type="dxa"/>
              <w:right w:w="100" w:type="dxa"/>
            </w:tcMar>
            <w:shd w:fill="E5EDF1"/>
          </w:tcPr>
          <w:p>
            <w:pPr>
              <w:spacing w:after="60"/>
              <w:jc w:val="center"/>
            </w:pPr>
            <w:r>
              <w:rPr>
                <w:b/>
                <w:sz w:val="20"/>
              </w:rPr>
              <w:t>평균 절대오차</w:t>
            </w:r>
          </w:p>
        </w:tc>
      </w:tr>
      <w:tr>
        <w:tc>
          <w:tcPr>
            <w:tcW w:type="dxa" w:w="3175"/>
            <w:vAlign w:val="center"/>
            <w:tcMar>
              <w:top w:w="100" w:type="dxa"/>
              <w:left w:w="100" w:type="dxa"/>
              <w:bottom w:w="100" w:type="dxa"/>
              <w:right w:w="100" w:type="dxa"/>
            </w:tcMar>
          </w:tcPr>
          <w:p>
            <w:pPr>
              <w:spacing w:after="60"/>
            </w:pPr>
            <w:r>
              <w:rPr>
                <w:b w:val="0"/>
                <w:sz w:val="20"/>
              </w:rPr>
              <w:t>M0</w:t>
            </w:r>
          </w:p>
        </w:tc>
        <w:tc>
          <w:tcPr>
            <w:tcW w:type="dxa" w:w="2835"/>
            <w:vAlign w:val="center"/>
            <w:tcMar>
              <w:top w:w="100" w:type="dxa"/>
              <w:left w:w="100" w:type="dxa"/>
              <w:bottom w:w="100" w:type="dxa"/>
              <w:right w:w="100" w:type="dxa"/>
            </w:tcMar>
          </w:tcPr>
          <w:p>
            <w:pPr>
              <w:spacing w:after="60"/>
              <w:jc w:val="center"/>
            </w:pPr>
            <w:r>
              <w:rPr>
                <w:b w:val="0"/>
                <w:sz w:val="20"/>
              </w:rPr>
              <w:t>2/10</w:t>
            </w:r>
          </w:p>
        </w:tc>
        <w:tc>
          <w:tcPr>
            <w:tcW w:type="dxa" w:w="3402"/>
            <w:vAlign w:val="center"/>
            <w:tcMar>
              <w:top w:w="100" w:type="dxa"/>
              <w:left w:w="100" w:type="dxa"/>
              <w:bottom w:w="100" w:type="dxa"/>
              <w:right w:w="100" w:type="dxa"/>
            </w:tcMar>
          </w:tcPr>
          <w:p>
            <w:pPr>
              <w:spacing w:after="60"/>
              <w:jc w:val="center"/>
            </w:pPr>
            <w:r>
              <w:rPr>
                <w:b w:val="0"/>
                <w:sz w:val="20"/>
              </w:rPr>
              <w:t>2.9명</w:t>
            </w:r>
          </w:p>
        </w:tc>
      </w:tr>
      <w:tr>
        <w:tc>
          <w:tcPr>
            <w:tcW w:type="dxa" w:w="3175"/>
            <w:vAlign w:val="center"/>
            <w:tcMar>
              <w:top w:w="100" w:type="dxa"/>
              <w:left w:w="100" w:type="dxa"/>
              <w:bottom w:w="100" w:type="dxa"/>
              <w:right w:w="100" w:type="dxa"/>
            </w:tcMar>
          </w:tcPr>
          <w:p>
            <w:pPr>
              <w:spacing w:after="60"/>
            </w:pPr>
            <w:r>
              <w:rPr>
                <w:b w:val="0"/>
                <w:sz w:val="20"/>
              </w:rPr>
              <w:t>M1</w:t>
            </w:r>
          </w:p>
        </w:tc>
        <w:tc>
          <w:tcPr>
            <w:tcW w:type="dxa" w:w="2835"/>
            <w:vAlign w:val="center"/>
            <w:tcMar>
              <w:top w:w="100" w:type="dxa"/>
              <w:left w:w="100" w:type="dxa"/>
              <w:bottom w:w="100" w:type="dxa"/>
              <w:right w:w="100" w:type="dxa"/>
            </w:tcMar>
          </w:tcPr>
          <w:p>
            <w:pPr>
              <w:spacing w:after="60"/>
              <w:jc w:val="center"/>
            </w:pPr>
            <w:r>
              <w:rPr>
                <w:b w:val="0"/>
                <w:sz w:val="20"/>
              </w:rPr>
              <w:t>9/10</w:t>
            </w:r>
          </w:p>
        </w:tc>
        <w:tc>
          <w:tcPr>
            <w:tcW w:type="dxa" w:w="3402"/>
            <w:vAlign w:val="center"/>
            <w:tcMar>
              <w:top w:w="100" w:type="dxa"/>
              <w:left w:w="100" w:type="dxa"/>
              <w:bottom w:w="100" w:type="dxa"/>
              <w:right w:w="100" w:type="dxa"/>
            </w:tcMar>
          </w:tcPr>
          <w:p>
            <w:pPr>
              <w:spacing w:after="60"/>
              <w:jc w:val="center"/>
            </w:pPr>
            <w:r>
              <w:rPr>
                <w:b w:val="0"/>
                <w:sz w:val="20"/>
              </w:rPr>
              <w:t>0.7명</w:t>
            </w:r>
          </w:p>
        </w:tc>
      </w:tr>
      <w:tr>
        <w:tc>
          <w:tcPr>
            <w:tcW w:type="dxa" w:w="3175"/>
            <w:vAlign w:val="center"/>
            <w:tcMar>
              <w:top w:w="100" w:type="dxa"/>
              <w:left w:w="100" w:type="dxa"/>
              <w:bottom w:w="100" w:type="dxa"/>
              <w:right w:w="100" w:type="dxa"/>
            </w:tcMar>
          </w:tcPr>
          <w:p>
            <w:pPr>
              <w:spacing w:after="60"/>
            </w:pPr>
            <w:r>
              <w:rPr>
                <w:b w:val="0"/>
                <w:sz w:val="20"/>
              </w:rPr>
              <w:t>M2</w:t>
            </w:r>
          </w:p>
        </w:tc>
        <w:tc>
          <w:tcPr>
            <w:tcW w:type="dxa" w:w="2835"/>
            <w:vAlign w:val="center"/>
            <w:tcMar>
              <w:top w:w="100" w:type="dxa"/>
              <w:left w:w="100" w:type="dxa"/>
              <w:bottom w:w="100" w:type="dxa"/>
              <w:right w:w="100" w:type="dxa"/>
            </w:tcMar>
          </w:tcPr>
          <w:p>
            <w:pPr>
              <w:spacing w:after="60"/>
              <w:jc w:val="center"/>
            </w:pPr>
            <w:r>
              <w:rPr>
                <w:b w:val="0"/>
                <w:sz w:val="20"/>
              </w:rPr>
              <w:t>9/10</w:t>
            </w:r>
          </w:p>
        </w:tc>
        <w:tc>
          <w:tcPr>
            <w:tcW w:type="dxa" w:w="3402"/>
            <w:vAlign w:val="center"/>
            <w:tcMar>
              <w:top w:w="100" w:type="dxa"/>
              <w:left w:w="100" w:type="dxa"/>
              <w:bottom w:w="100" w:type="dxa"/>
              <w:right w:w="100" w:type="dxa"/>
            </w:tcMar>
          </w:tcPr>
          <w:p>
            <w:pPr>
              <w:spacing w:after="60"/>
              <w:jc w:val="center"/>
            </w:pPr>
            <w:r>
              <w:rPr>
                <w:b w:val="0"/>
                <w:sz w:val="20"/>
              </w:rPr>
              <w:t>0.5명</w:t>
            </w:r>
          </w:p>
        </w:tc>
      </w:tr>
      <w:tr>
        <w:tc>
          <w:tcPr>
            <w:tcW w:type="dxa" w:w="3175"/>
            <w:vAlign w:val="center"/>
            <w:tcMar>
              <w:top w:w="100" w:type="dxa"/>
              <w:left w:w="100" w:type="dxa"/>
              <w:bottom w:w="100" w:type="dxa"/>
              <w:right w:w="100" w:type="dxa"/>
            </w:tcMar>
          </w:tcPr>
          <w:p>
            <w:pPr>
              <w:spacing w:after="60"/>
            </w:pPr>
            <w:r>
              <w:rPr>
                <w:b w:val="0"/>
                <w:sz w:val="20"/>
              </w:rPr>
              <w:t>M3</w:t>
            </w:r>
          </w:p>
        </w:tc>
        <w:tc>
          <w:tcPr>
            <w:tcW w:type="dxa" w:w="2835"/>
            <w:vAlign w:val="center"/>
            <w:tcMar>
              <w:top w:w="100" w:type="dxa"/>
              <w:left w:w="100" w:type="dxa"/>
              <w:bottom w:w="100" w:type="dxa"/>
              <w:right w:w="100" w:type="dxa"/>
            </w:tcMar>
          </w:tcPr>
          <w:p>
            <w:pPr>
              <w:spacing w:after="60"/>
              <w:jc w:val="center"/>
            </w:pPr>
            <w:r>
              <w:rPr>
                <w:b w:val="0"/>
                <w:sz w:val="20"/>
              </w:rPr>
              <w:t>10/10</w:t>
            </w:r>
          </w:p>
        </w:tc>
        <w:tc>
          <w:tcPr>
            <w:tcW w:type="dxa" w:w="3402"/>
            <w:vAlign w:val="center"/>
            <w:tcMar>
              <w:top w:w="100" w:type="dxa"/>
              <w:left w:w="100" w:type="dxa"/>
              <w:bottom w:w="100" w:type="dxa"/>
              <w:right w:w="100" w:type="dxa"/>
            </w:tcMar>
          </w:tcPr>
          <w:p>
            <w:pPr>
              <w:spacing w:after="60"/>
              <w:jc w:val="center"/>
            </w:pPr>
            <w:r>
              <w:rPr>
                <w:b w:val="0"/>
                <w:sz w:val="20"/>
              </w:rPr>
              <w:t>0.4명</w:t>
            </w:r>
          </w:p>
        </w:tc>
      </w:tr>
      <w:tr>
        <w:tc>
          <w:tcPr>
            <w:tcW w:type="dxa" w:w="3175"/>
            <w:vAlign w:val="center"/>
            <w:tcMar>
              <w:top w:w="100" w:type="dxa"/>
              <w:left w:w="100" w:type="dxa"/>
              <w:bottom w:w="100" w:type="dxa"/>
              <w:right w:w="100" w:type="dxa"/>
            </w:tcMar>
          </w:tcPr>
          <w:p>
            <w:pPr>
              <w:spacing w:after="60"/>
            </w:pPr>
            <w:r>
              <w:rPr>
                <w:b w:val="0"/>
                <w:sz w:val="20"/>
              </w:rPr>
              <w:t>N0 사후 비교</w:t>
            </w:r>
          </w:p>
        </w:tc>
        <w:tc>
          <w:tcPr>
            <w:tcW w:type="dxa" w:w="2835"/>
            <w:vAlign w:val="center"/>
            <w:tcMar>
              <w:top w:w="100" w:type="dxa"/>
              <w:left w:w="100" w:type="dxa"/>
              <w:bottom w:w="100" w:type="dxa"/>
              <w:right w:w="100" w:type="dxa"/>
            </w:tcMar>
          </w:tcPr>
          <w:p>
            <w:pPr>
              <w:spacing w:after="60"/>
              <w:jc w:val="center"/>
            </w:pPr>
            <w:r>
              <w:rPr>
                <w:b w:val="0"/>
                <w:sz w:val="20"/>
              </w:rPr>
              <w:t>9/10</w:t>
            </w:r>
          </w:p>
        </w:tc>
        <w:tc>
          <w:tcPr>
            <w:tcW w:type="dxa" w:w="3402"/>
            <w:vAlign w:val="center"/>
            <w:tcMar>
              <w:top w:w="100" w:type="dxa"/>
              <w:left w:w="100" w:type="dxa"/>
              <w:bottom w:w="100" w:type="dxa"/>
              <w:right w:w="100" w:type="dxa"/>
            </w:tcMar>
          </w:tcPr>
          <w:p>
            <w:pPr>
              <w:spacing w:after="60"/>
              <w:jc w:val="center"/>
            </w:pPr>
            <w:r>
              <w:rPr>
                <w:b w:val="0"/>
                <w:sz w:val="20"/>
              </w:rPr>
              <w:t>0.3명</w:t>
            </w:r>
          </w:p>
        </w:tc>
      </w:tr>
    </w:tbl>
    <w:p/>
    <w:p>
      <w:r>
        <w:t>M0는 1.6배 산식, M1·M2는 기존 회귀식, M3는 검증 관측창을 정한 확률모형입니다. M1·M2와 N0의 적중 수가 같고 N0의 오차가 더 작습니다. 이 비교로 어느 모형의 일반적 우월성도 결론내리지 않습니다.</w:t>
      </w:r>
    </w:p>
    <w:p>
      <w:r>
        <w:t>또한 M1·M2의 기존 학습 표지 144개 중 33개가 전역 최소값이라는 해석을 지지하지 못했습니다. 기존 예측의 점수만 다시 계산했다고 학습 표지의 문제가 해결된 것은 아닙니다.</w:t>
      </w:r>
    </w:p>
    <w:p>
      <w:pPr>
        <w:pStyle w:val="Heading1"/>
      </w:pPr>
      <w:r>
        <w:t>논문에 남기는 결론</w:t>
      </w:r>
    </w:p>
    <w:p>
      <w:r>
        <w:t>이 실험은 명시된 합성 규칙 아래 편성 가능성과 산술 제약을 재현 가능하게 살펴봅니다. 동시에 국소적인 관측창, 비단조 표본률, 시간 검열이 최소 인원 해석을 제한한다는 점을 보여줍니다. 실제 병동의 안전성, 법정 기준, 인력 충원 권고를 검증한 연구는 아닙니다.</w:t>
      </w:r>
    </w:p>
    <w:p>
      <w:r>
        <w:t>추가 학습이나 모집단 추론을 하려면 새로운 분석계획과 적절한 불확실성 전파가 필요합니다. 이미 살펴본 D를 다시 독립적인 새 검증자료라고 부를 수 없습니다. 현재 원고는 이 제한을 명시한 계산 방법 연구로 정리했습니다.</w:t>
      </w:r>
    </w:p>
    <w:p>
      <w:r>
        <w:t>투고 전에 연구책임자의 원고 검토, 저자·소속·연구비 정보, 투고지와 공개 자료 범위를 확정해야 합니다. 공모·투고가 접수됐거나 저자 최종 승인이 끝났다는 뜻은 아닙니다.</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snapToGrid w:val="0"/>
    </w:pPr>
    <w:rPr>
      <w:rFonts w:ascii="Malgun Gothic" w:hAnsi="Malgun Gothic" w:eastAsia="맑은 고딕"/>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snapToGrid w:val="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snapToGrid w:val="0"/>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snapToGrid w:val="0"/>
    </w:pPr>
    <w:rPr>
      <w:rFonts w:asciiTheme="majorHAnsi" w:eastAsiaTheme="majorEastAsia" w:hAnsiTheme="majorHAnsi" w:cstheme="majorBidi" w:ascii="Malgun Gothic" w:hAnsi="Malgun Gothic" w:eastAsia="맑은 고딕"/>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snapToGrid w:val="0"/>
    </w:pPr>
    <w:rPr>
      <w:rFonts w:asciiTheme="majorHAnsi" w:eastAsiaTheme="majorEastAsia" w:hAnsiTheme="majorHAnsi" w:cstheme="majorBidi" w:ascii="Malgun Gothic" w:hAnsi="Malgun Gothic" w:eastAsia="맑은 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snapToGrid w:val="0"/>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snapToGrid w:val="0"/>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snapToGrid w:val="0"/>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snapToGrid w:val="0"/>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snapToGrid w:val="0"/>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snapToGrid w:val="0"/>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snapToGrid w:val="0"/>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snapToGrid w:val="0"/>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snapToGrid w:val="0"/>
    </w:pPr>
    <w:rPr>
      <w:rFonts w:asciiTheme="majorHAnsi" w:eastAsiaTheme="majorEastAsia" w:hAnsiTheme="majorHAnsi" w:cstheme="majorBidi" w:ascii="Malgun Gothic" w:hAnsi="Malgun Gothic" w:eastAsia="맑은 고딕"/>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napToGrid w:val="0"/>
    </w:pPr>
    <w:rPr>
      <w:rFonts w:asciiTheme="majorHAnsi" w:eastAsiaTheme="majorEastAsia" w:hAnsiTheme="majorHAnsi" w:cstheme="majorBidi" w:ascii="Malgun Gothic" w:hAnsi="Malgun Gothic" w:eastAsia="맑은 고딕"/>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snapToGrid w:val="0"/>
    </w:pPr>
  </w:style>
  <w:style w:type="paragraph" w:styleId="BodyText">
    <w:name w:val="Body Text"/>
    <w:basedOn w:val="Normal"/>
    <w:link w:val="BodyTextChar"/>
    <w:uiPriority w:val="99"/>
    <w:unhideWhenUsed/>
    <w:rsid w:val="00AA1D8D"/>
    <w:pPr>
      <w:spacing w:after="120"/>
      <w:snapToGrid w:val="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snapToGrid w:val="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snapToGrid w:val="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snapToGrid w:val="0"/>
    </w:pPr>
  </w:style>
  <w:style w:type="paragraph" w:styleId="List2">
    <w:name w:val="List 2"/>
    <w:basedOn w:val="Normal"/>
    <w:uiPriority w:val="99"/>
    <w:unhideWhenUsed/>
    <w:rsid w:val="00326F90"/>
    <w:pPr>
      <w:ind w:left="720" w:hanging="360"/>
      <w:contextualSpacing/>
      <w:snapToGrid w:val="0"/>
    </w:pPr>
  </w:style>
  <w:style w:type="paragraph" w:styleId="List3">
    <w:name w:val="List 3"/>
    <w:basedOn w:val="Normal"/>
    <w:uiPriority w:val="99"/>
    <w:unhideWhenUsed/>
    <w:rsid w:val="00326F90"/>
    <w:pPr>
      <w:ind w:left="1080" w:hanging="360"/>
      <w:contextualSpacing/>
      <w:snapToGrid w:val="0"/>
    </w:pPr>
  </w:style>
  <w:style w:type="paragraph" w:styleId="ListBullet">
    <w:name w:val="List Bullet"/>
    <w:basedOn w:val="Normal"/>
    <w:uiPriority w:val="99"/>
    <w:unhideWhenUsed/>
    <w:rsid w:val="00326F90"/>
    <w:pPr>
      <w:numPr>
        <w:numId w:val="1"/>
      </w:numPr>
      <w:contextualSpacing/>
      <w:snapToGrid w:val="0"/>
    </w:pPr>
  </w:style>
  <w:style w:type="paragraph" w:styleId="ListBullet2">
    <w:name w:val="List Bullet 2"/>
    <w:basedOn w:val="Normal"/>
    <w:uiPriority w:val="99"/>
    <w:unhideWhenUsed/>
    <w:rsid w:val="00326F90"/>
    <w:pPr>
      <w:numPr>
        <w:numId w:val="2"/>
      </w:numPr>
      <w:contextualSpacing/>
      <w:snapToGrid w:val="0"/>
    </w:pPr>
  </w:style>
  <w:style w:type="paragraph" w:styleId="ListBullet3">
    <w:name w:val="List Bullet 3"/>
    <w:basedOn w:val="Normal"/>
    <w:uiPriority w:val="99"/>
    <w:unhideWhenUsed/>
    <w:rsid w:val="00326F90"/>
    <w:pPr>
      <w:numPr>
        <w:numId w:val="3"/>
      </w:numPr>
      <w:contextualSpacing/>
      <w:snapToGrid w:val="0"/>
    </w:pPr>
  </w:style>
  <w:style w:type="paragraph" w:styleId="ListNumber">
    <w:name w:val="List Number"/>
    <w:basedOn w:val="Normal"/>
    <w:uiPriority w:val="99"/>
    <w:unhideWhenUsed/>
    <w:rsid w:val="00326F90"/>
    <w:pPr>
      <w:numPr>
        <w:numId w:val="5"/>
      </w:numPr>
      <w:contextualSpacing/>
      <w:snapToGrid w:val="0"/>
    </w:pPr>
  </w:style>
  <w:style w:type="paragraph" w:styleId="ListNumber2">
    <w:name w:val="List Number 2"/>
    <w:basedOn w:val="Normal"/>
    <w:uiPriority w:val="99"/>
    <w:unhideWhenUsed/>
    <w:rsid w:val="0029639D"/>
    <w:pPr>
      <w:numPr>
        <w:numId w:val="6"/>
      </w:numPr>
      <w:contextualSpacing/>
      <w:snapToGrid w:val="0"/>
    </w:pPr>
  </w:style>
  <w:style w:type="paragraph" w:styleId="ListNumber3">
    <w:name w:val="List Number 3"/>
    <w:basedOn w:val="Normal"/>
    <w:uiPriority w:val="99"/>
    <w:unhideWhenUsed/>
    <w:rsid w:val="0029639D"/>
    <w:pPr>
      <w:numPr>
        <w:numId w:val="7"/>
      </w:numPr>
      <w:contextualSpacing/>
      <w:snapToGrid w:val="0"/>
    </w:pPr>
  </w:style>
  <w:style w:type="paragraph" w:styleId="ListContinue">
    <w:name w:val="List Continue"/>
    <w:basedOn w:val="Normal"/>
    <w:uiPriority w:val="99"/>
    <w:unhideWhenUsed/>
    <w:rsid w:val="0029639D"/>
    <w:pPr>
      <w:spacing w:after="120"/>
      <w:ind w:left="360"/>
      <w:contextualSpacing/>
      <w:snapToGrid w:val="0"/>
    </w:pPr>
  </w:style>
  <w:style w:type="paragraph" w:styleId="ListContinue2">
    <w:name w:val="List Continue 2"/>
    <w:basedOn w:val="Normal"/>
    <w:uiPriority w:val="99"/>
    <w:unhideWhenUsed/>
    <w:rsid w:val="0029639D"/>
    <w:pPr>
      <w:spacing w:after="120"/>
      <w:ind w:left="720"/>
      <w:contextualSpacing/>
      <w:snapToGrid w:val="0"/>
    </w:pPr>
  </w:style>
  <w:style w:type="paragraph" w:styleId="ListContinue3">
    <w:name w:val="List Continue 3"/>
    <w:basedOn w:val="Normal"/>
    <w:uiPriority w:val="99"/>
    <w:unhideWhenUsed/>
    <w:rsid w:val="0029639D"/>
    <w:pPr>
      <w:spacing w:after="120"/>
      <w:ind w:left="1080"/>
      <w:contextualSpacing/>
      <w:snapToGrid w:val="0"/>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napToGrid w:val="0"/>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napToGrid w:val="0"/>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snapToGrid w:val="0"/>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snapToGrid w:val="0"/>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snapToGrid w:val="0"/>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