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 — v0.1</w:t>
      </w:r>
    </w:p>
    <w:p>
      <w:r>
        <w:t xml:space="preserve">This supplement reproduces, verbatim and in English, the sealed method and result sections of the two internal manuscripts that the Korean main text merges: </w:t>
      </w:r>
      <w:r>
        <w:rPr>
          <w:b/>
        </w:rPr>
        <w:t>Phase 1</w:t>
      </w:r>
      <w:r>
        <w:t xml:space="preserve"> = the three-archetype confirmatory experiment (internal Paper 1, draft v0.8, SHA-256 </w:t>
      </w:r>
      <w:r>
        <w:t>37f304b0a385…</w:t>
      </w:r>
      <w:r>
        <w:t xml:space="preserve">) and </w:t>
      </w:r>
      <w:r>
        <w:rPr>
          <w:b/>
        </w:rPr>
        <w:t>Phase 2</w:t>
      </w:r>
      <w:r>
        <w:t xml:space="preserve"> = the condition-box campaign with its finite-batch identification correction (internal Paper 2, v0.4, SHA-256 </w:t>
      </w:r>
      <w:r>
        <w:t>d71f15dfb808…</w:t>
      </w:r>
      <w:r>
        <w:t xml:space="preserve">). Wherever the text below says "Paper 1" or "Paper 2", read Phase 1 or Phase 2 of the present study. Table and figure numbers inside each part are those of the source manuscript. Every table is regenerated from the sealed artefacts by the scripts named in the text; no number was retyped. Phase-1 tables carry the interpretation lock of the sealed protocol (synthetic archetype · nested composition path · hard-only · time-contract-conditional · stress-tail mixture; </w:t>
      </w:r>
      <w:r>
        <w:t>design/formal_interpretation_seal.md</w:t>
      </w:r>
      <w:r>
        <w:t>).</w:t>
      </w:r>
    </w:p>
    <w:p>
      <w:r>
        <w:t>Contents: S0 structured novelty search record (PRISMA-S items) · S1 Phase 1 methods · S2 Phase 1 results and discussion · S3 Phase 2 methods (design, stages, analysis plan, verification pack) · S4 Phase 2 results (labels, re-scoring, arithmetic comparator, band sensitivity, deviations, fitted surfaces, reader validation) · S5 Phase 2 discussion (identification limits, non-claims, multiplier scale).</w:t>
      </w:r>
    </w:p>
    <w:p>
      <w:r>
        <w:rPr>
          <w:b/>
        </w:rPr>
        <w:t>Citations inside the verbatim parts</w:t>
      </w:r>
      <w:r>
        <w:t xml:space="preserve"> are author–year, as the source manuscripts wrote them. Each refers to the numbered reference list of the main text: Vanhoucke and Maenhout, 2009 → [5] · Haspeslagh et al., 2014 → [8] · Ceschia et al., 2019 → [9] · Monks et al., 2019 → [32] · Wilson, 1927 → [23] · Hastie and Tibshirani, 1986 → [24] · Wood, 2017 → [25] · Servén and Brummitt, 2018 → [26] · Rasmussen and Williams, 2005 → [27] · Pedregosa et al., 2011 → [28] · Sobol', 1993 → [29] · Jansen, 1999 → [31] · Saltelli et al., 2010 → [30] · Zhang, Tang and Lau, 2025 → [15] · Clopper and Pearson, 1934 → [21] · Joe and Kuo, 2008 → [22].</w:t>
      </w:r>
    </w:p>
    <w:p>
      <w:pPr>
        <w:pStyle w:val="Heading2"/>
      </w:pPr>
      <w:r>
        <w:t>S0. Structured novelty search — record (PRISMA-S items)</w:t>
      </w:r>
    </w:p>
    <w:p>
      <w:r>
        <w:t xml:space="preserve">The introduction states that a structured novelty search, recorded to the PRISMA-S items, found no validated formula equating the minimum headcount of a monthly hard-rule roster with 1.6 × daily demand. This is a single-screener novelty search, not a systematic or scoping review; no PRISMA-ScR claim is made. Machine-readable logs, candidate exports and the screening tables are in the research package under </w:t>
      </w:r>
      <w:r>
        <w:t>literature/search_2026-08-04/</w:t>
      </w:r>
      <w:r>
        <w:t xml:space="preserve"> and </w:t>
      </w:r>
      <w:r>
        <w:t>literature/search_2026-08-09/</w:t>
      </w:r>
      <w:r>
        <w:t>.</w:t>
      </w:r>
    </w:p>
    <w:p>
      <w:pPr>
        <w:pStyle w:val="ListBullet"/>
      </w:pPr>
      <w:r>
        <w:rPr>
          <w:b/>
        </w:rPr>
        <w:t>Search dates.</w:t>
      </w:r>
      <w:r>
        <w:t xml:space="preserve"> 2026-08-04 (first reproducible PubMed export) and 2026-08-09 (re-run, domestic databases, access checks, title/abstract screening). No date or language limits.</w:t>
      </w:r>
    </w:p>
    <w:p>
      <w:pPr>
        <w:pStyle w:val="ListBullet"/>
      </w:pPr>
      <w:r>
        <w:rPr>
          <w:b/>
        </w:rPr>
        <w:t>Information sources.</w:t>
      </w:r>
      <w:r>
        <w:t xml:space="preserve"> PubMed/MEDLINE (NCBI E-utilities ESearch/EFetch); Korean databases RISS, KCI, DBpia, KISS (site search interfaces); Europe PMC and OpenAlex as free sensitivity counts only. Scopus, Web of Science and CINAHL could not be searched (preview/subscription access) and are recorded as a limitation, not as completed searches.</w:t>
      </w:r>
    </w:p>
    <w:p>
      <w:pPr>
        <w:pStyle w:val="ListBullet"/>
      </w:pPr>
      <w:r>
        <w:rPr>
          <w:b/>
        </w:rPr>
        <w:t>Final PubMed string (verbatim).</w:t>
      </w:r>
      <w:r>
        <w:t xml:space="preserve"> </w:t>
      </w:r>
      <w:r>
        <w:t>("nurse rostering"[Title/Abstract] OR "nurse scheduling"[Title/Abstract] OR "nurse staffing"[Title/Abstract]) AND (feasibility[Title/Abstract] OR optimization[Title/Abstract] OR simulation[Title/Abstract] OR stochastic[Title/Abstract] OR robust[Title/Abstract])</w:t>
      </w:r>
      <w:r>
        <w:t xml:space="preserve"> — 146 records on 2026-08-04, 147 on 2026-08-09 (one new PMID). Focused extensions on the same date: staffing ∩ scheduling integration (2), feasibility/hard-constraint focus (3), constraint-satisfaction phase transition × scheduling (1), nurse-scheduling instance generators (31 broad / 0 phrase).</w:t>
      </w:r>
    </w:p>
    <w:p>
      <w:pPr>
        <w:pStyle w:val="ListBullet"/>
      </w:pPr>
      <w:r>
        <w:rPr>
          <w:b/>
        </w:rPr>
        <w:t>Korean strings and counts (not summed across strings or databases).</w:t>
      </w:r>
      <w:r>
        <w:t xml:space="preserve"> Start string </w:t>
      </w:r>
      <w:r>
        <w:t>(간호사 OR 간호인력) AND (근무표 OR 배치 OR 인력산정 OR 스케줄링) AND (최적화 OR 시뮬레이션 OR 편성가능성)</w:t>
      </w:r>
      <w:r>
        <w:t xml:space="preserve">: RISS 690; the compound Boolean is not supported by KCI, DBpia or KISS, whose compatible three-concept string </w:t>
      </w:r>
      <w:r>
        <w:t>간호사 근무표 최적화</w:t>
      </w:r>
      <w:r>
        <w:t xml:space="preserve"> returned 4 (DBpia), 1 (KISS) and 5 (KCI two-concept sensitivity); the two-concept string </w:t>
      </w:r>
      <w:r>
        <w:t>간호사 근무표</w:t>
      </w:r>
      <w:r>
        <w:t xml:space="preserve"> returned 826 (DBpia).</w:t>
      </w:r>
    </w:p>
    <w:p>
      <w:pPr>
        <w:pStyle w:val="ListBullet"/>
      </w:pPr>
      <w:r>
        <w:rPr>
          <w:b/>
        </w:rPr>
        <w:t>Screening.</w:t>
      </w:r>
      <w:r>
        <w:t xml:space="preserve"> Title/abstract screening of the 147 PubMed records in a single pass, rule-based, executed by a generative-AI assistant under the authors' direction (see the Declarations of the main text); no independent second screener (inclusion: nurse staffing/rostering/scheduling domain and at least one of optimization, feasibility, simulation, stochastic/robust, benchmark/generator, integrated staffing–scheduling; exclusion: staffing-ratio/outcome studies without a scheduling or feasibility decision, non-nursing domains): include 80, maybe 38, exclude 29. Full-text comparison of the priority candidates on fixed columns (data, staffing decision, rostering decision, uncertainty/recourse, feasibility definition, solver state, month-to-month continuity, verification, public artefact) is </w:t>
      </w:r>
      <w:r>
        <w:t>h6_comparison_chart.csv</w:t>
      </w:r>
      <w:r>
        <w:t xml:space="preserve"> (21 rows).</w:t>
      </w:r>
    </w:p>
    <w:p>
      <w:pPr>
        <w:pStyle w:val="ListBullet"/>
      </w:pPr>
      <w:r>
        <w:rPr>
          <w:b/>
        </w:rPr>
        <w:t>Deduplication key.</w:t>
      </w:r>
      <w:r>
        <w:t xml:space="preserve"> DOI · PMID · normalised title/year.</w:t>
      </w:r>
    </w:p>
    <w:p>
      <w:pPr>
        <w:pStyle w:val="ListBullet"/>
      </w:pPr>
      <w:r>
        <w:rPr>
          <w:b/>
        </w:rPr>
        <w:t>Outcome.</w:t>
      </w:r>
      <w:r>
        <w:t xml:space="preserve"> No retrieved record validated a multiplier of daily demand as the minimum headcount for a hard-rule monthly roster; the domestic 1.4–1.6 coefficients found are annual FTE/budget multipliers that account for leave and holidays — an adjacent but different quantity (main text §1.1).</w:t>
      </w:r>
    </w:p>
    <w:p>
      <w:pPr>
        <w:pStyle w:val="Heading2"/>
      </w:pPr>
      <w:r>
        <w:t>S1. Phase 1 — methods (verbatim)</w:t>
      </w:r>
    </w:p>
    <w:p>
      <w:pPr>
        <w:pStyle w:val="Heading3"/>
      </w:pPr>
      <w:r>
        <w:t>2. Methods</w:t>
      </w:r>
    </w:p>
    <w:p>
      <w:pPr>
        <w:pStyle w:val="Heading3"/>
      </w:pPr>
      <w:r>
        <w:t>2.1 Design overview and pre-specification</w:t>
      </w:r>
    </w:p>
    <w:p>
      <w:r>
        <w:t>The study is a computational experiment under a frozen protocol (</w:t>
      </w:r>
      <w:r>
        <w:t>nrf-v3.10</w:t>
      </w:r>
      <w:r>
        <w:t xml:space="preserve">). All scientific parameters — archetypes, headcount grids, replication counts, decision lines, censoring policy, and analysis plan — were fixed before the confirmatory campaign. Execution followed a staged pipeline: (i) a scripted software </w:t>
      </w:r>
      <w:r>
        <w:rPr>
          <w:b/>
        </w:rPr>
        <w:t>qualification</w:t>
      </w:r>
      <w:r>
        <w:t xml:space="preserve"> battery; (ii) an operational </w:t>
      </w:r>
      <w:r>
        <w:rPr>
          <w:b/>
        </w:rPr>
        <w:t>pilot</w:t>
      </w:r>
      <w:r>
        <w:t xml:space="preserve"> (297 evaluations) gating stability, error, timing and memory, whose cell rates are </w:t>
      </w:r>
      <w:r>
        <w:rPr>
          <w:i/>
        </w:rPr>
        <w:t>not</w:t>
      </w:r>
      <w:r>
        <w:t xml:space="preserve"> used in scientific denominators; and (iii) the sealed </w:t>
      </w:r>
      <w:r>
        <w:rPr>
          <w:b/>
        </w:rPr>
        <w:t>formal</w:t>
      </w:r>
      <w:r>
        <w:t xml:space="preserve"> campaign of 9,150 terminal evaluations reported here. A prior pilot under an earlier execution contract (v3.9) ended in an acceptance NO-GO due to time-censoring load; the execution contract (search mode and time ladder) was revised and fully re-verified as v3.10 rather than mixing results across contracts. Two earlier formal attempts were abandoned (one mid-run resource-contract change, one arm-implementation error caught by fail-closed error handling); both are retained as tainted history and the authoritative attempt (</w:t>
      </w:r>
      <w:r>
        <w:t>formal_attempt_003</w:t>
      </w:r>
      <w:r>
        <w:t>) started fresh.</w:t>
      </w:r>
    </w:p>
    <w:p>
      <w:pPr>
        <w:pStyle w:val="Heading3"/>
      </w:pPr>
      <w:r>
        <w:t>2.2 Synthetic scenario generator</w:t>
      </w:r>
    </w:p>
    <w:p>
      <w:r>
        <w:t xml:space="preserve">Three demand archetypes fix the daily D/E/N minimums: </w:t>
      </w:r>
      <w:r>
        <w:rPr>
          <w:b/>
        </w:rPr>
        <w:t>A</w:t>
      </w:r>
      <w:r>
        <w:t xml:space="preserve"> 5/5/5 (headcounts H = 23–26), </w:t>
      </w:r>
      <w:r>
        <w:rPr>
          <w:b/>
        </w:rPr>
        <w:t>B</w:t>
      </w:r>
      <w:r>
        <w:t xml:space="preserve"> 7/7/6 (H = 30–34), and </w:t>
      </w:r>
      <w:r>
        <w:rPr>
          <w:b/>
        </w:rPr>
        <w:t>C</w:t>
      </w:r>
      <w:r>
        <w:t xml:space="preserve"> 9/9/8 (H = 39–45). The nominal 1.6 cells are A24, B32 and C42 (daily total × 1.6, rounded up). For each archetype, staff composition follows a </w:t>
      </w:r>
      <w:r>
        <w:rPr>
          <w:b/>
        </w:rPr>
        <w:t>nested composition path</w:t>
      </w:r>
      <w:r>
        <w:t xml:space="preserve">: role mix (manager/senior/junior/generic) and the number of monthly rest, annual-leave and education/duty beneficiaries are deterministic functions of H, so that moving from H to H+1 adds a specific role and can raise leave-event load. This models realistic scale-up of a full-time workforce, but it means a one-head increment is </w:t>
      </w:r>
      <w:r>
        <w:rPr>
          <w:i/>
        </w:rPr>
        <w:t>not</w:t>
      </w:r>
      <w:r>
        <w:t xml:space="preserve"> a ceteris-paribus body count — a property central to interpreting adjacent contrasts (§3.4).</w:t>
      </w:r>
    </w:p>
    <w:p>
      <w:r>
        <w:t>Each scenario root draws an independent synthetic month: leave/education events are placed under frozen rules, and the previous-month boundary is drawn from a sealed bank of feasible prior-month tails spanning four stress categories (neutral, work-boundary, evening-boundary, night-recovery) in a pre-specified stress mixture. The mixture is a design choice, not an empirical prevalence estimate. Within an archetype, all headcounts share scenario roots, enabling paired one-nurse contrasts. Archetype A's skeleton has historical provenance in anonymized operational logs, but every study value is researcher-set and synthetic; no operational data enter the analysis.</w:t>
      </w:r>
    </w:p>
    <w:p>
      <w:r>
        <w:rPr>
          <w:b/>
        </w:rPr>
        <w:t>Relation to standard NRP benchmark sets.</w:t>
      </w:r>
      <w:r>
        <w:t xml:space="preserve"> We deliberately do not use the public nurse-rostering benchmark sets — NSPLib (Vanhoucke and Maenhout, 2009) and the International Nurse Rostering Competition instances (Haspeslagh et al., 2014; Ceschia et al., 2019) — because they cannot carry this study's estimand. Those sets provide fixed instances, or generators parameterized by coverage/preference complexity indicators, for comparing rostering </w:t>
      </w:r>
      <w:r>
        <w:rPr>
          <w:i/>
        </w:rPr>
        <w:t>algorithms</w:t>
      </w:r>
      <w:r>
        <w:t xml:space="preserve"> on a </w:t>
      </w:r>
      <w:r>
        <w:rPr>
          <w:i/>
        </w:rPr>
        <w:t>given</w:t>
      </w:r>
      <w:r>
        <w:t xml:space="preserve"> workforce, typically under objectives dominated by soft-constraint costs. Our design inverts that layout: the solver and rule contract are frozen, and the measured quantity is the probability that </w:t>
      </w:r>
      <w:r>
        <w:rPr>
          <w:i/>
        </w:rPr>
        <w:t>any</w:t>
      </w:r>
      <w:r>
        <w:t xml:space="preserve"> valid month exists as the integer headcount sweeps a pre-specified grid over a </w:t>
      </w:r>
      <w:r>
        <w:rPr>
          <w:i/>
        </w:rPr>
        <w:t>distribution</w:t>
      </w:r>
      <w:r>
        <w:t xml:space="preserve"> of synthetic months. This estimand requires (i) thousands of independent month roots drawn from a frozen generator, not a fixed instance list; (ii) a nested composition path linking role mix and leave entitlements to headcount; (iii) a hard-only monthly contract — monthly night caps, minimum off-days, night-recovery, forbidden transitions, role/novice coverage, and prior-month continuity via sealed feasible tails — that the benchmark formats do not encode; and (iv) common-random-number coupling of roots across headcounts and arms for paired contrasts. Conversely, this study makes no algorithmic performance claim, and its results are not comparable to benchmark optimization scores. Positioning the three archetypes within NSPLib-style complexity-indicator space, or constructing encoding-compatible bridge instances, is left to the successor study.</w:t>
      </w:r>
    </w:p>
    <w:p>
      <w:pPr>
        <w:pStyle w:val="Heading3"/>
      </w:pPr>
      <w:r>
        <w:t>2.3 Hard-constraint model and solver</w:t>
      </w:r>
    </w:p>
    <w:p>
      <w:r>
        <w:t xml:space="preserve">Feasibility is evaluated with a hard-only constraint satisfaction model on Google OR-Tools CP-SAT (version </w:t>
      </w:r>
      <w:r>
        <w:rPr>
          <w:b/>
        </w:rPr>
        <w:t>9.12.4544</w:t>
      </w:r>
      <w:r>
        <w:t xml:space="preserve">). The model enforces the full monthly hard-rule contract — daily role/shift coverage, forbidden transitions, consecutive-work and consecutive-night limits, night-recovery rules, monthly night caps (≤ 8), an </w:t>
      </w:r>
      <w:r>
        <w:rPr>
          <w:b/>
        </w:rPr>
        <w:t>exact</w:t>
      </w:r>
      <w:r>
        <w:t xml:space="preserve"> monthly count of pure off-days (9 per non-manager; approved leave and education days are additional non-available days, not substitutes), role/seniority coverage, and prior-month continuity — and </w:t>
      </w:r>
      <w:r>
        <w:rPr>
          <w:b/>
        </w:rPr>
        <w:t>excludes</w:t>
      </w:r>
      <w:r>
        <w:t xml:space="preserve"> soft preferences, fairness objectives, overtime, float/agency staff, and post-publication swaps. The information basis is pre-publication: only what is known when a roster is posted (staffing, approved leave, education, prior-month end state) enters the model; post-publication disruptions and recovery actions are a different estimand reserved for successor studies. The solver runs as a satisfaction (not optimization) model with a fixed random seed and two workers per solve; the first valid schedule (if any) is checked by an independent validator before an F verdict is recorded.</w:t>
      </w:r>
    </w:p>
    <w:p>
      <w:pPr>
        <w:pStyle w:val="Heading3"/>
      </w:pPr>
      <w:r>
        <w:t>2.4 Time contract and terminal states</w:t>
      </w:r>
    </w:p>
    <w:p>
      <w:r>
        <w:t>Each evaluation ascends a deterministic-time ladder (1, 10, 100, 200 solver deterministic-time units, with wall-clock watchdogs of 120/600/1800/1200 s) until the solver returns a definite answer or the ladder ends. Terminal states are:</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sz w:val="16"/>
              </w:rPr>
            </w:r>
            <w:r>
              <w:rPr>
                <w:sz w:val="16"/>
              </w:rPr>
              <w:t>State</w:t>
            </w:r>
          </w:p>
        </w:tc>
        <w:tc>
          <w:tcPr>
            <w:tcW w:type="dxa" w:w="3135"/>
          </w:tcPr>
          <w:p>
            <w:pPr>
              <w:spacing w:line="240" w:lineRule="auto"/>
            </w:pPr>
            <w:r>
              <w:rPr>
                <w:sz w:val="16"/>
              </w:rPr>
            </w:r>
            <w:r>
              <w:rPr>
                <w:sz w:val="16"/>
              </w:rPr>
              <w:t>Meaning</w:t>
            </w:r>
          </w:p>
        </w:tc>
        <w:tc>
          <w:tcPr>
            <w:tcW w:type="dxa" w:w="3135"/>
          </w:tcPr>
          <w:p>
            <w:pPr>
              <w:spacing w:line="240" w:lineRule="auto"/>
            </w:pPr>
            <w:r>
              <w:rPr>
                <w:sz w:val="16"/>
              </w:rPr>
            </w:r>
            <w:r>
              <w:rPr>
                <w:sz w:val="16"/>
              </w:rPr>
              <w:t>Analysis use</w:t>
            </w:r>
          </w:p>
        </w:tc>
      </w:tr>
      <w:tr>
        <w:tc>
          <w:tcPr>
            <w:tcW w:type="dxa" w:w="3135"/>
          </w:tcPr>
          <w:p>
            <w:pPr>
              <w:spacing w:line="240" w:lineRule="auto"/>
            </w:pPr>
            <w:r>
              <w:rPr>
                <w:sz w:val="16"/>
              </w:rPr>
            </w:r>
            <w:r>
              <w:rPr>
                <w:sz w:val="16"/>
              </w:rPr>
              <w:t>F</w:t>
            </w:r>
          </w:p>
        </w:tc>
        <w:tc>
          <w:tcPr>
            <w:tcW w:type="dxa" w:w="3135"/>
          </w:tcPr>
          <w:p>
            <w:pPr>
              <w:spacing w:line="240" w:lineRule="auto"/>
            </w:pPr>
            <w:r>
              <w:rPr>
                <w:sz w:val="16"/>
              </w:rPr>
            </w:r>
            <w:r>
              <w:rPr>
                <w:sz w:val="16"/>
              </w:rPr>
              <w:t>Valid monthly schedule found and validated</w:t>
            </w:r>
          </w:p>
        </w:tc>
        <w:tc>
          <w:tcPr>
            <w:tcW w:type="dxa" w:w="3135"/>
          </w:tcPr>
          <w:p>
            <w:pPr>
              <w:spacing w:line="240" w:lineRule="auto"/>
            </w:pPr>
            <w:r>
              <w:rPr>
                <w:sz w:val="16"/>
              </w:rPr>
            </w:r>
            <w:r>
              <w:rPr>
                <w:sz w:val="16"/>
              </w:rPr>
              <w:t>feasibility indicator</w:t>
            </w:r>
          </w:p>
        </w:tc>
      </w:tr>
      <w:tr>
        <w:tc>
          <w:tcPr>
            <w:tcW w:type="dxa" w:w="3135"/>
          </w:tcPr>
          <w:p>
            <w:pPr>
              <w:spacing w:line="240" w:lineRule="auto"/>
            </w:pPr>
            <w:r>
              <w:rPr>
                <w:sz w:val="16"/>
              </w:rPr>
            </w:r>
            <w:r>
              <w:rPr>
                <w:sz w:val="16"/>
              </w:rPr>
              <w:t>I</w:t>
            </w:r>
          </w:p>
        </w:tc>
        <w:tc>
          <w:tcPr>
            <w:tcW w:type="dxa" w:w="3135"/>
          </w:tcPr>
          <w:p>
            <w:pPr>
              <w:spacing w:line="240" w:lineRule="auto"/>
            </w:pPr>
            <w:r>
              <w:rPr>
                <w:sz w:val="16"/>
              </w:rPr>
            </w:r>
            <w:r>
              <w:rPr>
                <w:sz w:val="16"/>
              </w:rPr>
              <w:t>Infeasibility proved under the model</w:t>
            </w:r>
          </w:p>
        </w:tc>
        <w:tc>
          <w:tcPr>
            <w:tcW w:type="dxa" w:w="3135"/>
          </w:tcPr>
          <w:p>
            <w:pPr>
              <w:spacing w:line="240" w:lineRule="auto"/>
            </w:pPr>
            <w:r>
              <w:rPr>
                <w:sz w:val="16"/>
              </w:rPr>
            </w:r>
            <w:r>
              <w:rPr>
                <w:sz w:val="16"/>
              </w:rPr>
              <w:t>model-conditional non-feasibility</w:t>
            </w:r>
          </w:p>
        </w:tc>
      </w:tr>
      <w:tr>
        <w:tc>
          <w:tcPr>
            <w:tcW w:type="dxa" w:w="3135"/>
          </w:tcPr>
          <w:p>
            <w:pPr>
              <w:spacing w:line="240" w:lineRule="auto"/>
            </w:pPr>
            <w:r>
              <w:rPr>
                <w:sz w:val="16"/>
              </w:rPr>
            </w:r>
            <w:r>
              <w:rPr>
                <w:sz w:val="16"/>
              </w:rPr>
              <w:t>T</w:t>
            </w:r>
          </w:p>
        </w:tc>
        <w:tc>
          <w:tcPr>
            <w:tcW w:type="dxa" w:w="3135"/>
          </w:tcPr>
          <w:p>
            <w:pPr>
              <w:spacing w:line="240" w:lineRule="auto"/>
            </w:pPr>
            <w:r>
              <w:rPr>
                <w:sz w:val="16"/>
              </w:rPr>
            </w:r>
            <w:r>
              <w:rPr>
                <w:sz w:val="16"/>
              </w:rPr>
              <w:t>Time-censored at ladder end</w:t>
            </w:r>
          </w:p>
        </w:tc>
        <w:tc>
          <w:tcPr>
            <w:tcW w:type="dxa" w:w="3135"/>
          </w:tcPr>
          <w:p>
            <w:pPr>
              <w:spacing w:line="240" w:lineRule="auto"/>
            </w:pPr>
            <w:r>
              <w:rPr>
                <w:sz w:val="16"/>
              </w:rPr>
            </w:r>
            <w:r>
              <w:rPr>
                <w:sz w:val="16"/>
              </w:rPr>
              <w:t>never imputed to F or I; widens identification</w:t>
            </w:r>
          </w:p>
        </w:tc>
      </w:tr>
      <w:tr>
        <w:tc>
          <w:tcPr>
            <w:tcW w:type="dxa" w:w="3135"/>
          </w:tcPr>
          <w:p>
            <w:pPr>
              <w:spacing w:line="240" w:lineRule="auto"/>
            </w:pPr>
            <w:r>
              <w:rPr>
                <w:sz w:val="16"/>
              </w:rPr>
            </w:r>
            <w:r>
              <w:rPr>
                <w:sz w:val="16"/>
              </w:rPr>
              <w:t>E</w:t>
            </w:r>
          </w:p>
        </w:tc>
        <w:tc>
          <w:tcPr>
            <w:tcW w:type="dxa" w:w="3135"/>
          </w:tcPr>
          <w:p>
            <w:pPr>
              <w:spacing w:line="240" w:lineRule="auto"/>
            </w:pPr>
            <w:r>
              <w:rPr>
                <w:sz w:val="16"/>
              </w:rPr>
            </w:r>
            <w:r>
              <w:rPr>
                <w:sz w:val="16"/>
              </w:rPr>
              <w:t>Execution/contract error</w:t>
            </w:r>
          </w:p>
        </w:tc>
        <w:tc>
          <w:tcPr>
            <w:tcW w:type="dxa" w:w="3135"/>
          </w:tcPr>
          <w:p>
            <w:pPr>
              <w:spacing w:line="240" w:lineRule="auto"/>
            </w:pPr>
            <w:r>
              <w:rPr>
                <w:sz w:val="16"/>
              </w:rPr>
            </w:r>
            <w:r>
              <w:rPr>
                <w:sz w:val="16"/>
              </w:rPr>
              <w:t>attempt fail-closed; no partial replacement</w:t>
            </w:r>
          </w:p>
        </w:tc>
      </w:tr>
    </w:tbl>
    <w:p/>
    <w:p>
      <w:r>
        <w:t>T is reported as censoring: cell-level probabilities are partially identified in [F/n, (F+T)/n]. Any E terminally taints an attempt (no selective re-runs); the authoritative attempt completed with E = 0.</w:t>
      </w:r>
    </w:p>
    <w:p>
      <w:pPr>
        <w:pStyle w:val="Heading3"/>
      </w:pPr>
      <w:r>
        <w:t>2.5 Experimental plan</w:t>
      </w:r>
    </w:p>
    <w:p>
      <w:r>
        <w:t>The formal campaign comprised 9,150 evaluations: the three primary 1.6 cells at n = 1,350 roots each (4,050), thirteen secondary headcount cells at n = 300 (3,900), a paired +2 maximum-staffing cap arm on 300 roots at each primary headcount (900), and a paired night-demand arm (B32, 7/7/6 → 6/7/7) on 300 roots (300). Evaluations were staged (main → cap2 → night) across a fixed three-node pool with frozen per-node concurrency ceilings. 9,150 is an evaluation count, not an independent-ward count; independent roots number 4,050.</w:t>
      </w:r>
    </w:p>
    <w:p>
      <w:pPr>
        <w:pStyle w:val="Heading3"/>
      </w:pPr>
      <w:r>
        <w:t>2.6 Statistical analysis (pre-specified)</w:t>
      </w:r>
    </w:p>
    <w:p>
      <w:r>
        <w:rPr>
          <w:b/>
        </w:rPr>
        <w:t>Primary family.</w:t>
      </w:r>
      <w:r>
        <w:t xml:space="preserve"> For each 1.6 cell (n = 1,350), simultaneous Clopper–Pearson bounds at α★ = 0.05/6 give a lower bound L on F/n and an upper bound U on (F+T)/n. The cell </w:t>
      </w:r>
      <w:r>
        <w:rPr>
          <w:b/>
        </w:rPr>
        <w:t>meets</w:t>
      </w:r>
      <w:r>
        <w:t xml:space="preserve"> the 95% research benchmark if L ≥ 0.95 (equivalently F ≥ 1,302), </w:t>
      </w:r>
      <w:r>
        <w:rPr>
          <w:b/>
        </w:rPr>
        <w:t>does not meet</w:t>
      </w:r>
      <w:r>
        <w:t xml:space="preserve"> if U &lt; 0.95 (F+T ≤ 1,262), and is </w:t>
      </w:r>
      <w:r>
        <w:rPr>
          <w:b/>
        </w:rPr>
        <w:t>indeterminate</w:t>
      </w:r>
      <w:r>
        <w:t xml:space="preserve"> otherwise. The benchmark is a research reference, not a clinical sufficiency criterion.</w:t>
      </w:r>
    </w:p>
    <w:p>
      <w:r>
        <w:rPr>
          <w:b/>
        </w:rPr>
        <w:t>Censoring sensitivity.</w:t>
      </w:r>
      <w:r>
        <w:t xml:space="preserve"> T/n is reported for every primary cell; a pre-specified rule withdraws sample-size/power claims if any primary cell shows T/n &gt; 0.005 (decisions themselves always follow the F / F+T rule).</w:t>
      </w:r>
    </w:p>
    <w:p>
      <w:r>
        <w:rPr>
          <w:b/>
        </w:rPr>
        <w:t>Secondary analyses.</w:t>
      </w:r>
      <w:r>
        <w:t xml:space="preserve"> The 16-cell curves and 13 adjacent paired contrasts (risk differences on shared roots, with conservative outer confidence intervals under censoring) are descriptive and not multiplicity-controlled. A pre-specified audit checklist governs any non-monotone narrative (§3.4). The cap2 gate pre-commits title/abstract limitations if the cap arm shows a large feasibility loss (conservative RD upper bound &lt; −0.05 or cap-arm F rate &lt; ½).</w:t>
      </w:r>
    </w:p>
    <w:p>
      <w:pPr>
        <w:pStyle w:val="Heading3"/>
      </w:pPr>
      <w:r>
        <w:t>2.7 Reproducibility, sealing and audit</w:t>
      </w:r>
    </w:p>
    <w:p>
      <w:r>
        <w:t xml:space="preserve">The generator, model contract, seeds, and analysis thresholds are frozen and hash-pinned; per-evaluation records are sealed at completion, and a built-in audit subcommand re-verifies the seal hash, the execution-contract hash, and per-stage terminal counts and gates. The primary decisions are recomputed from the sealed records by the packaged analysis scripts, which share the study's own decision code: this is self-implementation reproduction, </w:t>
      </w:r>
      <w:r>
        <w:rPr>
          <w:b/>
        </w:rPr>
        <w:t>not</w:t>
      </w:r>
      <w:r>
        <w:t xml:space="preserve"> third-party audit. Analysis tables and figures in this paper are regenerated by scripts included in the study package. Aggregated tables, figures and analysis code are shared; per-evaluation sealed records and the pinned commercial rostering product source are retained institutionally (see Data and code availability).</w:t>
      </w:r>
    </w:p>
    <w:p>
      <w:pPr>
        <w:pStyle w:val="Heading3"/>
      </w:pPr>
      <w:r>
        <w:t>2.8 Ethics</w:t>
      </w:r>
    </w:p>
    <w:p>
      <w:r>
        <w:t>Human-subjects research: not applicable — the study uses fully synthetic scenarios with no patient, staff, or identifiable data.</w:t>
      </w:r>
    </w:p>
    <w:p>
      <w:pPr>
        <w:pStyle w:val="Heading2"/>
      </w:pPr>
      <w:r>
        <w:t>S2. Phase 1 — results and discussion (verbatim)</w:t>
      </w:r>
    </w:p>
    <w:p>
      <w:pPr>
        <w:pStyle w:val="Heading3"/>
      </w:pPr>
      <w:r>
        <w:t>3. Results</w:t>
      </w:r>
    </w:p>
    <w:p>
      <w:pPr>
        <w:pStyle w:val="Heading3"/>
      </w:pPr>
      <w:r>
        <w:t>3.1 Execution</w:t>
      </w:r>
    </w:p>
    <w:p>
      <w:r>
        <w:t>The sealed formal attempt completed 9,150/9,150 evaluations with E = 0 in ≈ 1.8 h of wall time on the three-node pool. Overall terminal states were F 8,537 · I 584 · T 29. All three stages passed their gates (main 7,950: F 7,412/I 510/T 28; cap2 900: F 844/I 56/T 0; night 300: F 281/I 18/T 1). The seal-integrity audit passed (seal hash, contract hash, per-stage counts and gates).</w:t>
      </w:r>
    </w:p>
    <w:p>
      <w:pPr>
        <w:pStyle w:val="Heading3"/>
      </w:pPr>
      <w:r>
        <w:t>3.2 Primary confirmatory decisions (Table 1, Figure 1)</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spacing w:line="240" w:lineRule="auto"/>
            </w:pPr>
            <w:r>
              <w:rPr>
                <w:sz w:val="16"/>
              </w:rPr>
            </w:r>
            <w:r>
              <w:rPr>
                <w:sz w:val="16"/>
              </w:rPr>
              <w:t>Cell</w:t>
            </w:r>
          </w:p>
        </w:tc>
        <w:tc>
          <w:tcPr>
            <w:tcW w:type="dxa" w:w="1045"/>
          </w:tcPr>
          <w:p>
            <w:pPr>
              <w:spacing w:line="240" w:lineRule="auto"/>
            </w:pPr>
            <w:r>
              <w:rPr>
                <w:sz w:val="16"/>
              </w:rPr>
            </w:r>
            <w:r>
              <w:rPr>
                <w:sz w:val="16"/>
              </w:rPr>
              <w:t>H</w:t>
            </w:r>
          </w:p>
        </w:tc>
        <w:tc>
          <w:tcPr>
            <w:tcW w:type="dxa" w:w="1045"/>
          </w:tcPr>
          <w:p>
            <w:pPr>
              <w:spacing w:line="240" w:lineRule="auto"/>
            </w:pPr>
            <w:r>
              <w:rPr>
                <w:sz w:val="16"/>
              </w:rPr>
            </w:r>
            <w:r>
              <w:rPr>
                <w:sz w:val="16"/>
              </w:rPr>
              <w:t>F</w:t>
            </w:r>
          </w:p>
        </w:tc>
        <w:tc>
          <w:tcPr>
            <w:tcW w:type="dxa" w:w="1045"/>
          </w:tcPr>
          <w:p>
            <w:pPr>
              <w:spacing w:line="240" w:lineRule="auto"/>
            </w:pPr>
            <w:r>
              <w:rPr>
                <w:sz w:val="16"/>
              </w:rPr>
            </w:r>
            <w:r>
              <w:rPr>
                <w:sz w:val="16"/>
              </w:rPr>
              <w:t>I</w:t>
            </w:r>
          </w:p>
        </w:tc>
        <w:tc>
          <w:tcPr>
            <w:tcW w:type="dxa" w:w="1045"/>
          </w:tcPr>
          <w:p>
            <w:pPr>
              <w:spacing w:line="240" w:lineRule="auto"/>
            </w:pPr>
            <w:r>
              <w:rPr>
                <w:sz w:val="16"/>
              </w:rPr>
            </w:r>
            <w:r>
              <w:rPr>
                <w:sz w:val="16"/>
              </w:rPr>
              <w:t>T</w:t>
            </w:r>
          </w:p>
        </w:tc>
        <w:tc>
          <w:tcPr>
            <w:tcW w:type="dxa" w:w="1045"/>
          </w:tcPr>
          <w:p>
            <w:pPr>
              <w:spacing w:line="240" w:lineRule="auto"/>
            </w:pPr>
            <w:r>
              <w:rPr>
                <w:sz w:val="16"/>
              </w:rPr>
            </w:r>
            <w:r>
              <w:rPr>
                <w:sz w:val="16"/>
              </w:rPr>
              <w:t>F/n</w:t>
            </w:r>
          </w:p>
        </w:tc>
        <w:tc>
          <w:tcPr>
            <w:tcW w:type="dxa" w:w="1045"/>
          </w:tcPr>
          <w:p>
            <w:pPr>
              <w:spacing w:line="240" w:lineRule="auto"/>
            </w:pPr>
            <w:r>
              <w:rPr>
                <w:sz w:val="16"/>
              </w:rPr>
            </w:r>
            <w:r>
              <w:rPr>
                <w:sz w:val="16"/>
              </w:rPr>
              <w:t>L</w:t>
            </w:r>
          </w:p>
        </w:tc>
        <w:tc>
          <w:tcPr>
            <w:tcW w:type="dxa" w:w="1045"/>
          </w:tcPr>
          <w:p>
            <w:pPr>
              <w:spacing w:line="240" w:lineRule="auto"/>
            </w:pPr>
            <w:r>
              <w:rPr>
                <w:sz w:val="16"/>
              </w:rPr>
            </w:r>
            <w:r>
              <w:rPr>
                <w:sz w:val="16"/>
              </w:rPr>
              <w:t>U</w:t>
            </w:r>
          </w:p>
        </w:tc>
        <w:tc>
          <w:tcPr>
            <w:tcW w:type="dxa" w:w="1045"/>
          </w:tcPr>
          <w:p>
            <w:pPr>
              <w:spacing w:line="240" w:lineRule="auto"/>
            </w:pPr>
            <w:r>
              <w:rPr>
                <w:sz w:val="16"/>
              </w:rPr>
            </w:r>
            <w:r>
              <w:rPr>
                <w:sz w:val="16"/>
              </w:rPr>
              <w:t>Decision</w:t>
            </w:r>
          </w:p>
        </w:tc>
      </w:tr>
      <w:tr>
        <w:tc>
          <w:tcPr>
            <w:tcW w:type="dxa" w:w="1045"/>
          </w:tcPr>
          <w:p>
            <w:pPr>
              <w:spacing w:line="240" w:lineRule="auto"/>
            </w:pPr>
            <w:r>
              <w:rPr>
                <w:sz w:val="16"/>
              </w:rPr>
            </w:r>
            <w:r>
              <w:rPr>
                <w:sz w:val="16"/>
              </w:rPr>
              <w:t>A 1.6</w:t>
            </w:r>
          </w:p>
        </w:tc>
        <w:tc>
          <w:tcPr>
            <w:tcW w:type="dxa" w:w="1045"/>
          </w:tcPr>
          <w:p>
            <w:pPr>
              <w:spacing w:line="240" w:lineRule="auto"/>
            </w:pPr>
            <w:r>
              <w:rPr>
                <w:sz w:val="16"/>
              </w:rPr>
            </w:r>
            <w:r>
              <w:rPr>
                <w:sz w:val="16"/>
              </w:rPr>
              <w:t>24</w:t>
            </w:r>
          </w:p>
        </w:tc>
        <w:tc>
          <w:tcPr>
            <w:tcW w:type="dxa" w:w="1045"/>
          </w:tcPr>
          <w:p>
            <w:pPr>
              <w:spacing w:line="240" w:lineRule="auto"/>
            </w:pPr>
            <w:r>
              <w:rPr>
                <w:sz w:val="16"/>
              </w:rPr>
            </w:r>
            <w:r>
              <w:rPr>
                <w:sz w:val="16"/>
              </w:rPr>
              <w:t>1,287</w:t>
            </w:r>
          </w:p>
        </w:tc>
        <w:tc>
          <w:tcPr>
            <w:tcW w:type="dxa" w:w="1045"/>
          </w:tcPr>
          <w:p>
            <w:pPr>
              <w:spacing w:line="240" w:lineRule="auto"/>
            </w:pPr>
            <w:r>
              <w:rPr>
                <w:sz w:val="16"/>
              </w:rPr>
            </w:r>
            <w:r>
              <w:rPr>
                <w:sz w:val="16"/>
              </w:rPr>
              <w:t>63</w:t>
            </w:r>
          </w:p>
        </w:tc>
        <w:tc>
          <w:tcPr>
            <w:tcW w:type="dxa" w:w="1045"/>
          </w:tcPr>
          <w:p>
            <w:pPr>
              <w:spacing w:line="240" w:lineRule="auto"/>
            </w:pPr>
            <w:r>
              <w:rPr>
                <w:sz w:val="16"/>
              </w:rPr>
            </w:r>
            <w:r>
              <w:rPr>
                <w:sz w:val="16"/>
              </w:rPr>
              <w:t>0</w:t>
            </w:r>
          </w:p>
        </w:tc>
        <w:tc>
          <w:tcPr>
            <w:tcW w:type="dxa" w:w="1045"/>
          </w:tcPr>
          <w:p>
            <w:pPr>
              <w:spacing w:line="240" w:lineRule="auto"/>
            </w:pPr>
            <w:r>
              <w:rPr>
                <w:sz w:val="16"/>
              </w:rPr>
            </w:r>
            <w:r>
              <w:rPr>
                <w:sz w:val="16"/>
              </w:rPr>
              <w:t>0.9533</w:t>
            </w:r>
          </w:p>
        </w:tc>
        <w:tc>
          <w:tcPr>
            <w:tcW w:type="dxa" w:w="1045"/>
          </w:tcPr>
          <w:p>
            <w:pPr>
              <w:spacing w:line="240" w:lineRule="auto"/>
            </w:pPr>
            <w:r>
              <w:rPr>
                <w:sz w:val="16"/>
              </w:rPr>
            </w:r>
            <w:r>
              <w:rPr>
                <w:sz w:val="16"/>
              </w:rPr>
              <w:t>0.9378</w:t>
            </w:r>
          </w:p>
        </w:tc>
        <w:tc>
          <w:tcPr>
            <w:tcW w:type="dxa" w:w="1045"/>
          </w:tcPr>
          <w:p>
            <w:pPr>
              <w:spacing w:line="240" w:lineRule="auto"/>
            </w:pPr>
            <w:r>
              <w:rPr>
                <w:sz w:val="16"/>
              </w:rPr>
            </w:r>
            <w:r>
              <w:rPr>
                <w:sz w:val="16"/>
              </w:rPr>
              <w:t>0.9660</w:t>
            </w:r>
          </w:p>
        </w:tc>
        <w:tc>
          <w:tcPr>
            <w:tcW w:type="dxa" w:w="1045"/>
          </w:tcPr>
          <w:p>
            <w:pPr>
              <w:spacing w:line="240" w:lineRule="auto"/>
            </w:pPr>
            <w:r>
              <w:rPr>
                <w:sz w:val="16"/>
              </w:rPr>
            </w:r>
            <w:r>
              <w:rPr>
                <w:sz w:val="16"/>
              </w:rPr>
              <w:t>indeterminate</w:t>
            </w:r>
          </w:p>
        </w:tc>
      </w:tr>
      <w:tr>
        <w:tc>
          <w:tcPr>
            <w:tcW w:type="dxa" w:w="1045"/>
          </w:tcPr>
          <w:p>
            <w:pPr>
              <w:spacing w:line="240" w:lineRule="auto"/>
            </w:pPr>
            <w:r>
              <w:rPr>
                <w:sz w:val="16"/>
              </w:rPr>
            </w:r>
            <w:r>
              <w:rPr>
                <w:sz w:val="16"/>
              </w:rPr>
              <w:t>B 1.6</w:t>
            </w:r>
          </w:p>
        </w:tc>
        <w:tc>
          <w:tcPr>
            <w:tcW w:type="dxa" w:w="1045"/>
          </w:tcPr>
          <w:p>
            <w:pPr>
              <w:spacing w:line="240" w:lineRule="auto"/>
            </w:pPr>
            <w:r>
              <w:rPr>
                <w:sz w:val="16"/>
              </w:rPr>
            </w:r>
            <w:r>
              <w:rPr>
                <w:sz w:val="16"/>
              </w:rPr>
              <w:t>32</w:t>
            </w:r>
          </w:p>
        </w:tc>
        <w:tc>
          <w:tcPr>
            <w:tcW w:type="dxa" w:w="1045"/>
          </w:tcPr>
          <w:p>
            <w:pPr>
              <w:spacing w:line="240" w:lineRule="auto"/>
            </w:pPr>
            <w:r>
              <w:rPr>
                <w:sz w:val="16"/>
              </w:rPr>
            </w:r>
            <w:r>
              <w:rPr>
                <w:sz w:val="16"/>
              </w:rPr>
              <w:t>1,262</w:t>
            </w:r>
          </w:p>
        </w:tc>
        <w:tc>
          <w:tcPr>
            <w:tcW w:type="dxa" w:w="1045"/>
          </w:tcPr>
          <w:p>
            <w:pPr>
              <w:spacing w:line="240" w:lineRule="auto"/>
            </w:pPr>
            <w:r>
              <w:rPr>
                <w:sz w:val="16"/>
              </w:rPr>
            </w:r>
            <w:r>
              <w:rPr>
                <w:sz w:val="16"/>
              </w:rPr>
              <w:t>88</w:t>
            </w:r>
          </w:p>
        </w:tc>
        <w:tc>
          <w:tcPr>
            <w:tcW w:type="dxa" w:w="1045"/>
          </w:tcPr>
          <w:p>
            <w:pPr>
              <w:spacing w:line="240" w:lineRule="auto"/>
            </w:pPr>
            <w:r>
              <w:rPr>
                <w:sz w:val="16"/>
              </w:rPr>
            </w:r>
            <w:r>
              <w:rPr>
                <w:sz w:val="16"/>
              </w:rPr>
              <w:t>0</w:t>
            </w:r>
          </w:p>
        </w:tc>
        <w:tc>
          <w:tcPr>
            <w:tcW w:type="dxa" w:w="1045"/>
          </w:tcPr>
          <w:p>
            <w:pPr>
              <w:spacing w:line="240" w:lineRule="auto"/>
            </w:pPr>
            <w:r>
              <w:rPr>
                <w:sz w:val="16"/>
              </w:rPr>
            </w:r>
            <w:r>
              <w:rPr>
                <w:sz w:val="16"/>
              </w:rPr>
              <w:t>0.9348</w:t>
            </w:r>
          </w:p>
        </w:tc>
        <w:tc>
          <w:tcPr>
            <w:tcW w:type="dxa" w:w="1045"/>
          </w:tcPr>
          <w:p>
            <w:pPr>
              <w:spacing w:line="240" w:lineRule="auto"/>
            </w:pPr>
            <w:r>
              <w:rPr>
                <w:sz w:val="16"/>
              </w:rPr>
            </w:r>
            <w:r>
              <w:rPr>
                <w:sz w:val="16"/>
              </w:rPr>
              <w:t>0.9170</w:t>
            </w:r>
          </w:p>
        </w:tc>
        <w:tc>
          <w:tcPr>
            <w:tcW w:type="dxa" w:w="1045"/>
          </w:tcPr>
          <w:p>
            <w:pPr>
              <w:spacing w:line="240" w:lineRule="auto"/>
            </w:pPr>
            <w:r>
              <w:rPr>
                <w:sz w:val="16"/>
              </w:rPr>
            </w:r>
            <w:r>
              <w:rPr>
                <w:sz w:val="16"/>
              </w:rPr>
              <w:t>0.9499</w:t>
            </w:r>
          </w:p>
        </w:tc>
        <w:tc>
          <w:tcPr>
            <w:tcW w:type="dxa" w:w="1045"/>
          </w:tcPr>
          <w:p>
            <w:pPr>
              <w:spacing w:line="240" w:lineRule="auto"/>
            </w:pPr>
            <w:r>
              <w:rPr>
                <w:sz w:val="16"/>
              </w:rPr>
            </w:r>
            <w:r>
              <w:rPr>
                <w:sz w:val="16"/>
              </w:rPr>
              <w:t>does not meet</w:t>
            </w:r>
          </w:p>
        </w:tc>
      </w:tr>
      <w:tr>
        <w:tc>
          <w:tcPr>
            <w:tcW w:type="dxa" w:w="1045"/>
          </w:tcPr>
          <w:p>
            <w:pPr>
              <w:spacing w:line="240" w:lineRule="auto"/>
            </w:pPr>
            <w:r>
              <w:rPr>
                <w:sz w:val="16"/>
              </w:rPr>
            </w:r>
            <w:r>
              <w:rPr>
                <w:sz w:val="16"/>
              </w:rPr>
              <w:t>C 1.6</w:t>
            </w:r>
          </w:p>
        </w:tc>
        <w:tc>
          <w:tcPr>
            <w:tcW w:type="dxa" w:w="1045"/>
          </w:tcPr>
          <w:p>
            <w:pPr>
              <w:spacing w:line="240" w:lineRule="auto"/>
            </w:pPr>
            <w:r>
              <w:rPr>
                <w:sz w:val="16"/>
              </w:rPr>
            </w:r>
            <w:r>
              <w:rPr>
                <w:sz w:val="16"/>
              </w:rPr>
              <w:t>42</w:t>
            </w:r>
          </w:p>
        </w:tc>
        <w:tc>
          <w:tcPr>
            <w:tcW w:type="dxa" w:w="1045"/>
          </w:tcPr>
          <w:p>
            <w:pPr>
              <w:spacing w:line="240" w:lineRule="auto"/>
            </w:pPr>
            <w:r>
              <w:rPr>
                <w:sz w:val="16"/>
              </w:rPr>
            </w:r>
            <w:r>
              <w:rPr>
                <w:sz w:val="16"/>
              </w:rPr>
              <w:t>1,226</w:t>
            </w:r>
          </w:p>
        </w:tc>
        <w:tc>
          <w:tcPr>
            <w:tcW w:type="dxa" w:w="1045"/>
          </w:tcPr>
          <w:p>
            <w:pPr>
              <w:spacing w:line="240" w:lineRule="auto"/>
            </w:pPr>
            <w:r>
              <w:rPr>
                <w:sz w:val="16"/>
              </w:rPr>
            </w:r>
            <w:r>
              <w:rPr>
                <w:sz w:val="16"/>
              </w:rPr>
              <w:t>124</w:t>
            </w:r>
          </w:p>
        </w:tc>
        <w:tc>
          <w:tcPr>
            <w:tcW w:type="dxa" w:w="1045"/>
          </w:tcPr>
          <w:p>
            <w:pPr>
              <w:spacing w:line="240" w:lineRule="auto"/>
            </w:pPr>
            <w:r>
              <w:rPr>
                <w:sz w:val="16"/>
              </w:rPr>
            </w:r>
            <w:r>
              <w:rPr>
                <w:sz w:val="16"/>
              </w:rPr>
              <w:t>0</w:t>
            </w:r>
          </w:p>
        </w:tc>
        <w:tc>
          <w:tcPr>
            <w:tcW w:type="dxa" w:w="1045"/>
          </w:tcPr>
          <w:p>
            <w:pPr>
              <w:spacing w:line="240" w:lineRule="auto"/>
            </w:pPr>
            <w:r>
              <w:rPr>
                <w:sz w:val="16"/>
              </w:rPr>
            </w:r>
            <w:r>
              <w:rPr>
                <w:sz w:val="16"/>
              </w:rPr>
              <w:t>0.9081</w:t>
            </w:r>
          </w:p>
        </w:tc>
        <w:tc>
          <w:tcPr>
            <w:tcW w:type="dxa" w:w="1045"/>
          </w:tcPr>
          <w:p>
            <w:pPr>
              <w:spacing w:line="240" w:lineRule="auto"/>
            </w:pPr>
            <w:r>
              <w:rPr>
                <w:sz w:val="16"/>
              </w:rPr>
            </w:r>
            <w:r>
              <w:rPr>
                <w:sz w:val="16"/>
              </w:rPr>
              <w:t>0.8877</w:t>
            </w:r>
          </w:p>
        </w:tc>
        <w:tc>
          <w:tcPr>
            <w:tcW w:type="dxa" w:w="1045"/>
          </w:tcPr>
          <w:p>
            <w:pPr>
              <w:spacing w:line="240" w:lineRule="auto"/>
            </w:pPr>
            <w:r>
              <w:rPr>
                <w:sz w:val="16"/>
              </w:rPr>
            </w:r>
            <w:r>
              <w:rPr>
                <w:sz w:val="16"/>
              </w:rPr>
              <w:t>0.9260</w:t>
            </w:r>
          </w:p>
        </w:tc>
        <w:tc>
          <w:tcPr>
            <w:tcW w:type="dxa" w:w="1045"/>
          </w:tcPr>
          <w:p>
            <w:pPr>
              <w:spacing w:line="240" w:lineRule="auto"/>
            </w:pPr>
            <w:r>
              <w:rPr>
                <w:sz w:val="16"/>
              </w:rPr>
            </w:r>
            <w:r>
              <w:rPr>
                <w:sz w:val="16"/>
              </w:rPr>
              <w:t>does not meet</w:t>
            </w:r>
          </w:p>
        </w:tc>
      </w:tr>
    </w:tbl>
    <w:p/>
    <w:p>
      <w:r>
        <w:t>No primary cell met the pre-specified 95% benchmark under simultaneous exact inference. A24's point estimate lies just above 0.95 but its simultaneous lower bound does not; B32 and C42 fall below by upper bound. Descriptively, the feasibility rate at the nominal multiplier declines across archetypes as demand scale grows (0.953 → 0.935 → 0.908); because archetypes are design benchmarks rather than a sampled population, we do not attach a causal scale interpretation. All primary cells had T = 0, so the pre-specified power-withdrawal rule was not triggered. We flag one margin explicitly: B32's F + T = 1,262 sits exactly on the pre-specified does-not-meet line (at n = 1,350 the rule fires at F + T ≤ 1,262), with U = 0.9499 — a single additional feasible month would have returned an indeterminate call. C42 (F = 1,226) lies 36 months inside the line, and A24's indeterminate call is 15 months from the meets line (F ≥ 1,302). The three primary calls are therefore not equally robust to sampling variation.</w:t>
      </w:r>
    </w:p>
    <w:p>
      <w:pPr>
        <w:pStyle w:val="Heading3"/>
      </w:pPr>
      <w:r>
        <w:t>3.3 Descriptive feasibility curves (Table 2, Figure 2)</w:t>
      </w:r>
    </w:p>
    <w:p>
      <w:r>
        <w:t>All 16 cells completed (E = 0). F rates ranged from 0.857 (B30, with T = 26/300 — the only high-censoring cell; identification band [0.857, 0.943]) to 0.977 (A25). Within the tested grids, no archetype's curve reaches a plateau at 1.0; C remains between 0.908 and 0.950 across H = 39–45 (multiplier ≈ 1.50–1.73). Secondary cells (n = 300) carry ≈ ±2.5 pp Monte Carlo uncertainty and are not held to the primary decision lines.</w:t>
      </w:r>
    </w:p>
    <w:p>
      <w:pPr>
        <w:pStyle w:val="Heading3"/>
      </w:pPr>
      <w:r>
        <w:t>3.4 Adjacent one-nurse contrasts and non-monotonicity (Table 3, Figure 3)</w:t>
      </w:r>
    </w:p>
    <w:p>
      <w:r>
        <w:t xml:space="preserve">Of 13 adjacent paired contrasts, the F rate was non-increasing in 5 (largest: C41→42, identified RD −0.043; also A25→26, B31→32, B33→34, C43→44). The pre-specified audit found the flips to be almost entirely F→I transitions on shared roots (e.g., C41→42: 16 F→I vs 3 I→F), not censoring artifacts; error states were absent; and tail stress class was stable within roots across H. The direction is consistent with the nested composition path: adding one head changes the role prefix and raises leave-event load under the frozen scaling rules. We therefore report non-monotonicity </w:t>
      </w:r>
      <w:r>
        <w:rPr>
          <w:b/>
        </w:rPr>
        <w:t>descriptively</w:t>
      </w:r>
      <w:r>
        <w:t xml:space="preserve"> as a property of the nested path, and do not claim that an additional nurse per se reduces feasibility, nor that one always helps.</w:t>
      </w:r>
    </w:p>
    <w:p>
      <w:pPr>
        <w:pStyle w:val="Heading3"/>
      </w:pPr>
      <w:r>
        <w:t>3.5 Structural sensitivities (Tables 4–5, Figure 4)</w:t>
      </w:r>
    </w:p>
    <w:p>
      <w:r>
        <w:rPr>
          <w:b/>
        </w:rPr>
        <w:t>Maximum-staffing cap (+2).</w:t>
      </w:r>
      <w:r>
        <w:t xml:space="preserve"> On 300 shared roots per archetype at the primary headcounts, cap2 terminal outcomes matched the main arm exactly (identified paired RD = 0 in all three archetypes). The pre-committed cap2 limitation gate was not triggered; primary results are robust, on this sample, to capping daily over-assignment at minimum + 2.</w:t>
      </w:r>
    </w:p>
    <w:p>
      <w:r>
        <w:rPr>
          <w:b/>
        </w:rPr>
        <w:t>Night-demand shift.</w:t>
      </w:r>
      <w:r>
        <w:t xml:space="preserve"> Moving one daily slot from day to night (B32, 7/7/6 → 6/7/7; n = 300 pairs) produced a negligible paired change (identified RD ≈ [−0.003, 0]; outer CI ≈ [−0.021, 0.015]). This is a local structural sensitivity; 6/7/7 is not a clinical standard demand pattern.</w:t>
      </w:r>
    </w:p>
    <w:p>
      <w:pPr>
        <w:pStyle w:val="Heading3"/>
      </w:pPr>
      <w:r>
        <w:t>4. Discussion</w:t>
      </w:r>
    </w:p>
    <w:p>
      <w:pPr>
        <w:pStyle w:val="Heading3"/>
      </w:pPr>
      <w:r>
        <w:t>4.1 Principal findings</w:t>
      </w:r>
    </w:p>
    <w:p>
      <w:r>
        <w:t>Under a sealed synthetic hard-only contract, the nominal 1.6 multiplier's headcounts did not earn a "meets the 95% benchmark" call in any of three pre-specified demand archetypes — one cell was indeterminate and two fell short — and the multiplier's position on the feasibility curve varied by archetype. One-nurse increments did not monotonically improve feasibility under the nested composition path. Feasibility was insensitive, on paired samples, to a +2 staffing cap and to a one-slot night shift.</w:t>
      </w:r>
    </w:p>
    <w:p>
      <w:pPr>
        <w:pStyle w:val="Heading3"/>
      </w:pPr>
      <w:r>
        <w:t>4.2 What the multiplier result does and does not mean</w:t>
      </w:r>
    </w:p>
    <w:p>
      <w:r>
        <w:t xml:space="preserve">The allowed reading is conditional: </w:t>
      </w:r>
      <w:r>
        <w:rPr>
          <w:i/>
        </w:rPr>
        <w:t>within the pre-specified synthetic archetypes and composition path, the 1.6 arithmetic total sits at the measured positions on each conditional feasibility curve.</w:t>
      </w:r>
      <w:r>
        <w:t xml:space="preserve"> This is a method-validation result about slot-arithmetic heuristics as monthly-feasibility predictors under one frozen contract — not evidence that any real ward is understaffed, that 1.6 is universally wrong (or right), or that some other multiplier is optimal. What the differentiated primary decisions do establish is that a single fixed multiplier cannot be assumed to deliver uniform monthly-roster feasibility across demand conditions even in a clean synthetic setting; condition-resolved estimation is required.</w:t>
      </w:r>
    </w:p>
    <w:p>
      <w:pPr>
        <w:pStyle w:val="Heading3"/>
      </w:pPr>
      <w:r>
        <w:t>4.3 Non-monotonicity and the nested path</w:t>
      </w:r>
    </w:p>
    <w:p>
      <w:r>
        <w:t xml:space="preserve">The audited F→I flips at one-head increments illustrate a structural point for staffing arithmetic: when workforce scale-up follows realistic composition rules (roles and leave entitlements growing with headcount), the </w:t>
      </w:r>
      <w:r>
        <w:rPr>
          <w:i/>
        </w:rPr>
        <w:t>effective</w:t>
      </w:r>
      <w:r>
        <w:t xml:space="preserve"> schedulable capacity need not grow with nominal headcount at every step. Slot-arithmetic necessary conditions are satisfied with margin at all primary cells, yet feasibility still falls short of the benchmark — residual infeasibility is combinational, arising from the interaction of role coverage, leave placement, transition rules and continuity, not from monthly slot shortage.</w:t>
      </w:r>
    </w:p>
    <w:p>
      <w:pPr>
        <w:pStyle w:val="Heading3"/>
      </w:pPr>
      <w:r>
        <w:t>4.4 Post-hoc exploratory diagnostics (off the primary contract)</w:t>
      </w:r>
    </w:p>
    <w:p>
      <w:r>
        <w:t>Two post-hoc diagnostics, run after sealing on read-only records and labeled exploratory, sharpen the interpretation without altering any sealed table. First, extending the time ladder (400/800 units) on the 26 censored B30 roots resolved 16 to feasible and 3 to proven-infeasible, leaving 7 censored — the censored pool is a mixture of latent feasibles, latent infeasibles and a hard core, supporting the partial-identification treatment of T rather than any imputation. Second, a decoupling probe on the 16 C41→42 F→I roots re-ran H = 42 with role mix and leave load frozen at the H = 41 path plus one generic staff member: the nested path reproduced infeasibility on 16/16 roots while the decoupled arm recovered feasibility on 16/16, experimentally confirming that the paired drop is a composition-path effect rather than a headcount effect. Both diagnostics are hypothesis-generating for the successor study and make no confirmatory claims.</w:t>
      </w:r>
    </w:p>
    <w:p>
      <w:pPr>
        <w:pStyle w:val="Heading3"/>
      </w:pPr>
      <w:r>
        <w:t>4.5 Strengths</w:t>
      </w:r>
    </w:p>
    <w:p>
      <w:r>
        <w:t>The design commits to decisions before data (pre-specified cells, replication counts, decision lines, and a censoring-sensitivity rule); treats solver censoring as first-class data; separates software qualification and operational piloting from scientific denominators; enforces fail-closed error handling with no selective replacement; and seals records so that the decisions can be recomputed from them (by the study's own analysis scripts; no third-party audit was performed). Reporting follows simulation-study reporting guidance where applicable [TBD: STRESS-adjacent checklist citation].</w:t>
      </w:r>
    </w:p>
    <w:p>
      <w:pPr>
        <w:pStyle w:val="Heading3"/>
      </w:pPr>
      <w:r>
        <w:t>4.6 Limitations</w:t>
      </w:r>
    </w:p>
    <w:p>
      <w:r>
        <w:t xml:space="preserve">Results are conditional on (i) three synthetic archetypes that represent design benchmarks, not sampled wards; (ii) a hard-only model that excludes soft preferences, fairness, overtime, float and swaps; (iii) a frozen search/time contract — I and T are defined relative to it; (iv) a pre-specified stress-tail mixture for prior-month continuity whose real-world prevalence is unknown; (v) a nested composition path that deliberately couples headcount with role/leave structure; and (vi) no linkage to the public NRP benchmark sets (NSPLib, INRC), whose instance formats cannot express this monthly hard-rule contract (§2.2) — cross-benchmark positioning remains future work; (vii) a pre-specified annual-leave and education load (≈ 0.2 leave days per nurse-month by design, ≈ 0.3 including education) that is </w:t>
      </w:r>
      <w:r>
        <w:rPr>
          <w:b/>
        </w:rPr>
        <w:t>below</w:t>
      </w:r>
      <w:r>
        <w:t xml:space="preserve"> typical domestic leave utilisation — a heavier leave load raises the arithmetic necessary condition itself, because the same demand must be covered from fewer available nurse-days, so the reported feasibility rates are, if anything, optimistic relative to wards with higher leave load; and (viii) the protocol was </w:t>
      </w:r>
      <w:r>
        <w:rPr>
          <w:b/>
        </w:rPr>
        <w:t>internally pre-specified with no external timestamp</w:t>
      </w:r>
      <w:r>
        <w:t xml:space="preserve"> — no public registration record exists, and none was created after the results were known. Feasibility here does not imply fairness or acceptability of any produced schedule, and the first-found schedules' load distributions should not be read as fairness outcomes. External validity to real wards is a matter for future studies with real data; none is claimed.</w:t>
      </w:r>
    </w:p>
    <w:p>
      <w:pPr>
        <w:pStyle w:val="Heading3"/>
      </w:pPr>
      <w:r>
        <w:t>4.7 Non-claims</w:t>
      </w:r>
    </w:p>
    <w:p>
      <w:r>
        <w:t>This study does not establish safe, minimum, adequate or optimal staffing for any real unit; does not validate or refute the 1.6 rule in general; does not equate model infeasibility with real-world impossibility; and does not treat 9,150 evaluations as 9,150 independent wards (independent roots: 4,050).</w:t>
      </w:r>
    </w:p>
    <w:p>
      <w:pPr>
        <w:pStyle w:val="Heading3"/>
      </w:pPr>
      <w:r>
        <w:t>4.8 Future work</w:t>
      </w:r>
    </w:p>
    <w:p>
      <w:r>
        <w:t>The measurement contract validated here — generator, four-state taxonomy, partial identification, sealed records with an internal integrity check — is the anchor for a successor study estimating the feasibility boundary surface H*(x; τ) over a parameterized condition space, with decomposition into an arithmetic necessary condition N₀(x) and a combinatorial premium Δ = H* − N₀, and an accuracy–simplicity frontier of portable staffing formulas. The τ-sensitivity of the present decisions and the demonstrated path-dependence of one-head effects (Section 4.4) directly motivate treating the reliability benchmark τ and the composition path as explicit axes of that surface, and the leave-load limitation (vii) motivates a third: annual-leave and discretionary-leave load, which shifts the arithmetic necessary condition rather than only the combinatorial premium.</w:t>
      </w:r>
    </w:p>
    <w:p>
      <w:pPr>
        <w:pStyle w:val="Heading3"/>
      </w:pPr>
      <w:r>
        <w:t>5. Conclusion</w:t>
      </w:r>
    </w:p>
    <w:p>
      <w:r>
        <w:t>Under a sealed, pre-specified synthetic contract, fixed-multiplier staffing arithmetic did not guarantee monthly-roster hard-feasibility at a 95% research benchmark in any of three demand archetypes, and its adequacy varied across conditions. Monthly feasibility is a combinational property that daily slot arithmetic — and any single multiplier — cannot fully capture. The study's sealed, censoring-honest measurement contract provides a reproducible foundation for mapping condition-resolved staffing feasibility boundaries.</w:t>
      </w:r>
    </w:p>
    <w:p>
      <w:pPr>
        <w:pStyle w:val="Heading2"/>
      </w:pPr>
      <w:r>
        <w:t>S3. Phase 2 — methods (verbatim)</w:t>
      </w:r>
    </w:p>
    <w:p>
      <w:pPr>
        <w:pStyle w:val="Heading3"/>
      </w:pPr>
      <w:r>
        <w:t>2. Methods</w:t>
      </w:r>
    </w:p>
    <w:p>
      <w:pPr>
        <w:pStyle w:val="Heading3"/>
      </w:pPr>
      <w:r>
        <w:t>2.1 Design overview and honest pre-specification status</w:t>
      </w:r>
    </w:p>
    <w:p>
      <w:r>
        <w:t>The study is a computational experiment under a frozen execution contract (</w:t>
      </w:r>
      <w:r>
        <w:t>nrf2-r2-execution-contract</w:t>
      </w:r>
      <w:r>
        <w:t xml:space="preserve">, design pin </w:t>
      </w:r>
      <w:r>
        <w:rPr>
          <w:i/>
        </w:rPr>
        <w:t>Research 2.0</w:t>
      </w:r>
      <w:r>
        <w:t xml:space="preserve"> v1.0.17, contract v1.3 self-hash </w:t>
      </w:r>
      <w:r>
        <w:t>9efe0e9ca009…</w:t>
      </w:r>
      <w:r>
        <w:t xml:space="preserve">). The contract fixes the original estimand language, τ, the stair, per-cell sample sizes, the stage sequence, the budget caps and nine automatic stopping conditions (S1–S9) — one terminal E halts the campaign; a budget cap halts before the request that would exceed it; time-censoring is never a halt or a gate; a completed stage's gate is mechanical (record counts, key uniqueness, contract hash, validator agreement) and contains no result-dependent criterion. Execution was approved once, before any solve under the contract; stages report and proceed, and no re-approval is sought mid-campaign. Every later amendment is recorded in the contract's </w:t>
      </w:r>
      <w:r>
        <w:t>approval.amendments</w:t>
      </w:r>
      <w:r>
        <w:t xml:space="preserve"> with its reason and its effect on the stopping-condition hash (</w:t>
      </w:r>
      <w:r>
        <w:t>3ae8c579…</w:t>
      </w:r>
      <w:r>
        <w:t xml:space="preserve"> at v1.3).</w:t>
      </w:r>
    </w:p>
    <w:p>
      <w:r>
        <w:t xml:space="preserve">Pre-specification is </w:t>
      </w:r>
      <w:r>
        <w:rPr>
          <w:b/>
        </w:rPr>
        <w:t>internal, with no external timestamp</w:t>
      </w:r>
      <w:r>
        <w:t>. Repository records document the contract and promotion-rule freezes; the Stage C selection rule was fixed before aggregation of the existing map records, and the Stage D selection rule before Stage D execution. These are distinct timing claims: the Stage C freeze did not precede production of all map data. No external registry was used. These internal timestamps do not establish external registration or complete blinding.</w:t>
      </w:r>
    </w:p>
    <w:p>
      <w:r>
        <w:t>The GAM prediction table and Stage D run freeze were committed before Stage D began. The M1/M2 formula ladder and its reader were committed while Stage D was running, using map-plus-Stage C training inputs. The operational monitor exposed F/I/T summaries for x347 h4, x348 h0 and x348 h1; project records state that these three monitor cells were used for throughput estimation, not fitting. Nothing in that disclosure converts the holdout into a registered, fully blinded trial.</w:t>
      </w:r>
    </w:p>
    <w:p>
      <w:r>
        <w:t>The stage sequence is: a self-contained verification pack (§2.12) → Stage 0a (compiler/adapter verification on 560 job pairs) → Stage 0b (a seven-condition pilot with a pre-specified two-rung extension) → Stage B screen (300 Sobol points, two waves) → Stage B map (promoted windows at n = 500) → Stage C infill (contract v1.2) → analysis freeze of the prediction table → Stage D holdout (contract v1.3). Every stage ran to its mechanical gate. Reporting follows the STRESS guidelines for empirical simulation studies (Monks et al., 2019) where their items apply. The completion-set reader of §2.6 is a post hoc descriptive correction of interpretation. It does not refit models, rerun solvers, change τ, or assert a population confidence bound.</w:t>
      </w:r>
    </w:p>
    <w:p>
      <w:pPr>
        <w:pStyle w:val="Heading3"/>
      </w:pPr>
      <w:r>
        <w:t>2.2 Condition space</w:t>
      </w:r>
    </w:p>
    <w:p>
      <w:r>
        <w:t>A ward condition is an eight-scalar vector x. The box is read from code (</w:t>
      </w:r>
      <w:r>
        <w:t>AXIS_BOX</w:t>
      </w:r>
      <w:r>
        <w:t>), not typed. Table 1 records the axes, ranges and Sobol mapping.</w:t>
      </w:r>
    </w:p>
    <w:p>
      <w:r>
        <w:rPr>
          <w:b/>
        </w:rPr>
        <w:t>Table 1. Condition space and screen design.</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sz w:val="16"/>
              </w:rPr>
            </w:r>
            <w:r>
              <w:rPr>
                <w:sz w:val="16"/>
              </w:rPr>
              <w:t>axis</w:t>
            </w:r>
          </w:p>
        </w:tc>
        <w:tc>
          <w:tcPr>
            <w:tcW w:type="dxa" w:w="3135"/>
          </w:tcPr>
          <w:p>
            <w:pPr>
              <w:spacing w:line="240" w:lineRule="auto"/>
            </w:pPr>
            <w:r>
              <w:rPr>
                <w:sz w:val="16"/>
              </w:rPr>
            </w:r>
            <w:r>
              <w:rPr>
                <w:sz w:val="16"/>
              </w:rPr>
              <w:t>meaning</w:t>
            </w:r>
          </w:p>
        </w:tc>
        <w:tc>
          <w:tcPr>
            <w:tcW w:type="dxa" w:w="3135"/>
          </w:tcPr>
          <w:p>
            <w:pPr>
              <w:spacing w:line="240" w:lineRule="auto"/>
            </w:pPr>
            <w:r>
              <w:rPr>
                <w:sz w:val="16"/>
              </w:rPr>
            </w:r>
            <w:r>
              <w:rPr>
                <w:sz w:val="16"/>
              </w:rPr>
              <w:t>range</w:t>
            </w:r>
          </w:p>
        </w:tc>
      </w:tr>
      <w:tr>
        <w:tc>
          <w:tcPr>
            <w:tcW w:type="dxa" w:w="3135"/>
          </w:tcPr>
          <w:p>
            <w:pPr>
              <w:spacing w:line="240" w:lineRule="auto"/>
            </w:pPr>
            <w:r>
              <w:rPr>
                <w:sz w:val="16"/>
              </w:rPr>
            </w:r>
            <w:r>
              <w:rPr>
                <w:sz w:val="16"/>
              </w:rPr>
              <w:t>W</w:t>
            </w:r>
          </w:p>
        </w:tc>
        <w:tc>
          <w:tcPr>
            <w:tcW w:type="dxa" w:w="3135"/>
          </w:tcPr>
          <w:p>
            <w:pPr>
              <w:spacing w:line="240" w:lineRule="auto"/>
            </w:pPr>
            <w:r>
              <w:rPr>
                <w:sz w:val="16"/>
              </w:rPr>
            </w:r>
            <w:r>
              <w:rPr>
                <w:sz w:val="16"/>
              </w:rPr>
              <w:t>weekday daily demand total D + E + N (people on duty per day)</w:t>
            </w:r>
          </w:p>
        </w:tc>
        <w:tc>
          <w:tcPr>
            <w:tcW w:type="dxa" w:w="3135"/>
          </w:tcPr>
          <w:p>
            <w:pPr>
              <w:spacing w:line="240" w:lineRule="auto"/>
            </w:pPr>
            <w:r>
              <w:rPr>
                <w:sz w:val="16"/>
              </w:rPr>
            </w:r>
            <w:r>
              <w:rPr>
                <w:sz w:val="16"/>
              </w:rPr>
              <w:t>12–27 (integer)</w:t>
            </w:r>
          </w:p>
        </w:tc>
      </w:tr>
      <w:tr>
        <w:tc>
          <w:tcPr>
            <w:tcW w:type="dxa" w:w="3135"/>
          </w:tcPr>
          <w:p>
            <w:pPr>
              <w:spacing w:line="240" w:lineRule="auto"/>
            </w:pPr>
            <w:r>
              <w:rPr>
                <w:sz w:val="16"/>
              </w:rPr>
            </w:r>
            <w:r>
              <w:rPr>
                <w:sz w:val="16"/>
              </w:rPr>
              <w:t>nu</w:t>
            </w:r>
          </w:p>
        </w:tc>
        <w:tc>
          <w:tcPr>
            <w:tcW w:type="dxa" w:w="3135"/>
          </w:tcPr>
          <w:p>
            <w:pPr>
              <w:spacing w:line="240" w:lineRule="auto"/>
            </w:pPr>
            <w:r>
              <w:rPr>
                <w:sz w:val="16"/>
              </w:rPr>
            </w:r>
            <w:r>
              <w:rPr>
                <w:sz w:val="16"/>
              </w:rPr>
              <w:t>night fraction ν = N / W</w:t>
            </w:r>
          </w:p>
        </w:tc>
        <w:tc>
          <w:tcPr>
            <w:tcW w:type="dxa" w:w="3135"/>
          </w:tcPr>
          <w:p>
            <w:pPr>
              <w:spacing w:line="240" w:lineRule="auto"/>
            </w:pPr>
            <w:r>
              <w:rPr>
                <w:sz w:val="16"/>
              </w:rPr>
            </w:r>
            <w:r>
              <w:rPr>
                <w:sz w:val="16"/>
              </w:rPr>
              <w:t>0.25–0.4</w:t>
            </w:r>
          </w:p>
        </w:tc>
      </w:tr>
      <w:tr>
        <w:tc>
          <w:tcPr>
            <w:tcW w:type="dxa" w:w="3135"/>
          </w:tcPr>
          <w:p>
            <w:pPr>
              <w:spacing w:line="240" w:lineRule="auto"/>
            </w:pPr>
            <w:r>
              <w:rPr>
                <w:sz w:val="16"/>
              </w:rPr>
            </w:r>
            <w:r>
              <w:rPr>
                <w:sz w:val="16"/>
              </w:rPr>
              <w:t>rho</w:t>
            </w:r>
          </w:p>
        </w:tc>
        <w:tc>
          <w:tcPr>
            <w:tcW w:type="dxa" w:w="3135"/>
          </w:tcPr>
          <w:p>
            <w:pPr>
              <w:spacing w:line="240" w:lineRule="auto"/>
            </w:pPr>
            <w:r>
              <w:rPr>
                <w:sz w:val="16"/>
              </w:rPr>
            </w:r>
            <w:r>
              <w:rPr>
                <w:sz w:val="16"/>
              </w:rPr>
              <w:t>evening-to-day ratio ρ = E / D</w:t>
            </w:r>
          </w:p>
        </w:tc>
        <w:tc>
          <w:tcPr>
            <w:tcW w:type="dxa" w:w="3135"/>
          </w:tcPr>
          <w:p>
            <w:pPr>
              <w:spacing w:line="240" w:lineRule="auto"/>
            </w:pPr>
            <w:r>
              <w:rPr>
                <w:sz w:val="16"/>
              </w:rPr>
            </w:r>
            <w:r>
              <w:rPr>
                <w:sz w:val="16"/>
              </w:rPr>
              <w:t>0.85–1.15</w:t>
            </w:r>
          </w:p>
        </w:tc>
      </w:tr>
      <w:tr>
        <w:tc>
          <w:tcPr>
            <w:tcW w:type="dxa" w:w="3135"/>
          </w:tcPr>
          <w:p>
            <w:pPr>
              <w:spacing w:line="240" w:lineRule="auto"/>
            </w:pPr>
            <w:r>
              <w:rPr>
                <w:sz w:val="16"/>
              </w:rPr>
            </w:r>
            <w:r>
              <w:rPr>
                <w:sz w:val="16"/>
              </w:rPr>
              <w:t>OF</w:t>
            </w:r>
          </w:p>
        </w:tc>
        <w:tc>
          <w:tcPr>
            <w:tcW w:type="dxa" w:w="3135"/>
          </w:tcPr>
          <w:p>
            <w:pPr>
              <w:spacing w:line="240" w:lineRule="auto"/>
            </w:pPr>
            <w:r>
              <w:rPr>
                <w:sz w:val="16"/>
              </w:rPr>
            </w:r>
            <w:r>
              <w:rPr>
                <w:sz w:val="16"/>
              </w:rPr>
              <w:t>exact monthly count of pure off-days per non-manager</w:t>
            </w:r>
          </w:p>
        </w:tc>
        <w:tc>
          <w:tcPr>
            <w:tcW w:type="dxa" w:w="3135"/>
          </w:tcPr>
          <w:p>
            <w:pPr>
              <w:spacing w:line="240" w:lineRule="auto"/>
            </w:pPr>
            <w:r>
              <w:rPr>
                <w:sz w:val="16"/>
              </w:rPr>
            </w:r>
            <w:r>
              <w:rPr>
                <w:sz w:val="16"/>
              </w:rPr>
              <w:t>8–12 (integer)</w:t>
            </w:r>
          </w:p>
        </w:tc>
      </w:tr>
      <w:tr>
        <w:tc>
          <w:tcPr>
            <w:tcW w:type="dxa" w:w="3135"/>
          </w:tcPr>
          <w:p>
            <w:pPr>
              <w:spacing w:line="240" w:lineRule="auto"/>
            </w:pPr>
            <w:r>
              <w:rPr>
                <w:sz w:val="16"/>
              </w:rPr>
            </w:r>
            <w:r>
              <w:rPr>
                <w:sz w:val="16"/>
              </w:rPr>
              <w:t>P</w:t>
            </w:r>
          </w:p>
        </w:tc>
        <w:tc>
          <w:tcPr>
            <w:tcW w:type="dxa" w:w="3135"/>
          </w:tcPr>
          <w:p>
            <w:pPr>
              <w:spacing w:line="240" w:lineRule="auto"/>
            </w:pPr>
            <w:r>
              <w:rPr>
                <w:sz w:val="16"/>
              </w:rPr>
            </w:r>
            <w:r>
              <w:rPr>
                <w:sz w:val="16"/>
              </w:rPr>
              <w:t>holiday-type designated days in the month</w:t>
            </w:r>
          </w:p>
        </w:tc>
        <w:tc>
          <w:tcPr>
            <w:tcW w:type="dxa" w:w="3135"/>
          </w:tcPr>
          <w:p>
            <w:pPr>
              <w:spacing w:line="240" w:lineRule="auto"/>
            </w:pPr>
            <w:r>
              <w:rPr>
                <w:sz w:val="16"/>
              </w:rPr>
            </w:r>
            <w:r>
              <w:rPr>
                <w:sz w:val="16"/>
              </w:rPr>
              <w:t>0–5 (integer)</w:t>
            </w:r>
          </w:p>
        </w:tc>
      </w:tr>
      <w:tr>
        <w:tc>
          <w:tcPr>
            <w:tcW w:type="dxa" w:w="3135"/>
          </w:tcPr>
          <w:p>
            <w:pPr>
              <w:spacing w:line="240" w:lineRule="auto"/>
            </w:pPr>
            <w:r>
              <w:rPr>
                <w:sz w:val="16"/>
              </w:rPr>
            </w:r>
            <w:r>
              <w:rPr>
                <w:sz w:val="16"/>
              </w:rPr>
              <w:t>lambda_l</w:t>
            </w:r>
          </w:p>
        </w:tc>
        <w:tc>
          <w:tcPr>
            <w:tcW w:type="dxa" w:w="3135"/>
          </w:tcPr>
          <w:p>
            <w:pPr>
              <w:spacing w:line="240" w:lineRule="auto"/>
            </w:pPr>
            <w:r>
              <w:rPr>
                <w:sz w:val="16"/>
              </w:rPr>
            </w:r>
            <w:r>
              <w:rPr>
                <w:sz w:val="16"/>
              </w:rPr>
              <w:t>annual-leave load λ_L, employee-days per productive person per month</w:t>
            </w:r>
          </w:p>
        </w:tc>
        <w:tc>
          <w:tcPr>
            <w:tcW w:type="dxa" w:w="3135"/>
          </w:tcPr>
          <w:p>
            <w:pPr>
              <w:spacing w:line="240" w:lineRule="auto"/>
            </w:pPr>
            <w:r>
              <w:rPr>
                <w:sz w:val="16"/>
              </w:rPr>
            </w:r>
            <w:r>
              <w:rPr>
                <w:sz w:val="16"/>
              </w:rPr>
              <w:t>0.5–1.2</w:t>
            </w:r>
          </w:p>
        </w:tc>
      </w:tr>
      <w:tr>
        <w:tc>
          <w:tcPr>
            <w:tcW w:type="dxa" w:w="3135"/>
          </w:tcPr>
          <w:p>
            <w:pPr>
              <w:spacing w:line="240" w:lineRule="auto"/>
            </w:pPr>
            <w:r>
              <w:rPr>
                <w:sz w:val="16"/>
              </w:rPr>
            </w:r>
            <w:r>
              <w:rPr>
                <w:sz w:val="16"/>
              </w:rPr>
              <w:t>j</w:t>
            </w:r>
          </w:p>
        </w:tc>
        <w:tc>
          <w:tcPr>
            <w:tcW w:type="dxa" w:w="3135"/>
          </w:tcPr>
          <w:p>
            <w:pPr>
              <w:spacing w:line="240" w:lineRule="auto"/>
            </w:pPr>
            <w:r>
              <w:rPr>
                <w:sz w:val="16"/>
              </w:rPr>
            </w:r>
            <w:r>
              <w:rPr>
                <w:sz w:val="16"/>
              </w:rPr>
              <w:t>junior (novice) fraction of productive staff</w:t>
            </w:r>
          </w:p>
        </w:tc>
        <w:tc>
          <w:tcPr>
            <w:tcW w:type="dxa" w:w="3135"/>
          </w:tcPr>
          <w:p>
            <w:pPr>
              <w:spacing w:line="240" w:lineRule="auto"/>
            </w:pPr>
            <w:r>
              <w:rPr>
                <w:sz w:val="16"/>
              </w:rPr>
            </w:r>
            <w:r>
              <w:rPr>
                <w:sz w:val="16"/>
              </w:rPr>
              <w:t>0.05–0.3</w:t>
            </w:r>
          </w:p>
        </w:tc>
      </w:tr>
      <w:tr>
        <w:tc>
          <w:tcPr>
            <w:tcW w:type="dxa" w:w="3135"/>
          </w:tcPr>
          <w:p>
            <w:pPr>
              <w:spacing w:line="240" w:lineRule="auto"/>
            </w:pPr>
            <w:r>
              <w:rPr>
                <w:sz w:val="16"/>
              </w:rPr>
            </w:r>
            <w:r>
              <w:rPr>
                <w:sz w:val="16"/>
              </w:rPr>
              <w:t>s</w:t>
            </w:r>
          </w:p>
        </w:tc>
        <w:tc>
          <w:tcPr>
            <w:tcW w:type="dxa" w:w="3135"/>
          </w:tcPr>
          <w:p>
            <w:pPr>
              <w:spacing w:line="240" w:lineRule="auto"/>
            </w:pPr>
            <w:r>
              <w:rPr>
                <w:sz w:val="16"/>
              </w:rPr>
            </w:r>
            <w:r>
              <w:rPr>
                <w:sz w:val="16"/>
              </w:rPr>
              <w:t>senior fraction of productive staff</w:t>
            </w:r>
          </w:p>
        </w:tc>
        <w:tc>
          <w:tcPr>
            <w:tcW w:type="dxa" w:w="3135"/>
          </w:tcPr>
          <w:p>
            <w:pPr>
              <w:spacing w:line="240" w:lineRule="auto"/>
            </w:pPr>
            <w:r>
              <w:rPr>
                <w:sz w:val="16"/>
              </w:rPr>
            </w:r>
            <w:r>
              <w:rPr>
                <w:sz w:val="16"/>
              </w:rPr>
              <w:t>0.25–0.5</w:t>
            </w:r>
          </w:p>
        </w:tc>
      </w:tr>
    </w:tbl>
    <w:p/>
    <w:p>
      <w:r>
        <w:t xml:space="preserve">Read from </w:t>
      </w:r>
      <w:r>
        <w:t>src/nurse_feasibility_nrf2/stage_b.py</w:t>
      </w:r>
      <w:r>
        <w:t xml:space="preserve"> (</w:t>
      </w:r>
      <w:r>
        <w:t>AXIS_BOX</w:t>
      </w:r>
      <w:r>
        <w:t xml:space="preserve">, </w:t>
      </w:r>
      <w:r>
        <w:t>AXIS_ORDER</w:t>
      </w:r>
      <w:r>
        <w:t>).  Sobol coordinates map affinely onto the float ranges and by floor(u·n) onto the integer ranges; the axis order is the design's contract with the unit cube.  Stair rungs h = 0–8 above the arithmetic floor N₀(x).  Prior-month tail bank per category: screen 1, map 4.</w:t>
      </w:r>
    </w:p>
    <w:p>
      <w:r>
        <w:t xml:space="preserve">Fixed across the space: a 30-day month, one manager, full-time staff, and the twenty hard rules, solver parameters and time ladder of Paper 1's protocol </w:t>
      </w:r>
      <w:r>
        <w:t>nrf-v3.10</w:t>
      </w:r>
      <w:r>
        <w:t>, inherited read-only. The annual-leave load λ_L is the primary axis of leave stress; the two sentinel values used in Paper 1 (0.2, anchor position) and in the pilots (2.0, stress) are outside the Sobol flood. The optional night-cap sensitivity arm of the design (k_N = 7/8/9) was not run. W is externally specified daily staffing demand (people on duty per weekday), not a demand-estimation model. The output is roster headcount under the declared synthetic rules. It is not automatically annual FTE, a legal staffing standard, or an evaluated patient-safety threshold.</w:t>
      </w:r>
    </w:p>
    <w:p>
      <w:r>
        <w:t>Sobol points are a fixed low-discrepancy design on the unit cube, mapped affinely onto the box. They are not a random sample of real wards, and neither the 540 promoted stairs nor the Stage D selected singleton subset is such a sample.</w:t>
      </w:r>
    </w:p>
    <w:p>
      <w:pPr>
        <w:pStyle w:val="Heading3"/>
      </w:pPr>
      <w:r>
        <w:t>2.3 Scenario generator, composition arms and the arithmetic floor N₀</w:t>
      </w:r>
    </w:p>
    <w:p>
      <w:r>
        <w:t>Each condition x and headcount H compiles to a monthly case: daily D/E/N minimums from W, ν and ρ with a deterministic rounding rule; a roster of H people with one manager and a productive body whose junior and senior fractions are j and s; rest, leave and holiday-type beneficiaries counted per the Paper-1 scaling with leave in employee-days set by λ_L; P holiday-type days placed by a keyed rule; and a previous-month tail (§2.8). Two composition arms are run for every point:</w:t>
      </w:r>
    </w:p>
    <w:p>
      <w:pPr>
        <w:pStyle w:val="ListBullet"/>
      </w:pPr>
      <w:r>
        <w:rPr>
          <w:b/>
        </w:rPr>
        <w:t>nested</w:t>
      </w:r>
      <w:r>
        <w:t xml:space="preserve"> — the role mix and the beneficiary counts are functions of H, so that H → H+1 adds a specific role and can raise leave load (Paper 1's path; one head is not a ceteris-paribus body);</w:t>
      </w:r>
    </w:p>
    <w:p>
      <w:pPr>
        <w:pStyle w:val="ListBullet"/>
      </w:pPr>
      <w:r>
        <w:rPr>
          <w:b/>
        </w:rPr>
        <w:t>decouple</w:t>
      </w:r>
      <w:r>
        <w:t xml:space="preserve"> — the role mix is frozen at the reference headcount and every additional head is a generic productive nurse, isolating the pure headcount effect. The decouple arm is the primary arm for the original H* reading; the nested arm is the anchor and sensitivity arm.</w:t>
      </w:r>
    </w:p>
    <w:p>
      <w:r>
        <w:t xml:space="preserve">N₀(x) is computed by a solver-free preflight from three counting conditions — gross work-slots (productive people × maximum work-days minus leave and holiday employee-days must cover 30 × W), night-cap slots (productive people × min(available days, 8) must cover 30 × N) and role coverage — and the roster is probed for the ceiling at which the frozen role map can still be built. The compiler uses N₀ as a solver-free counting floor. Absence of recorded F below N₀ is an execution consistency check, not an additional proof over all unobserved headcounts. The response axis everywhere is </w:t>
      </w:r>
      <w:r>
        <w:rPr>
          <w:b/>
        </w:rPr>
        <w:t>h = H − N₀(x)</w:t>
      </w:r>
      <w:r>
        <w:t>. Domain h ≥ 0 is an inherited working N₀ premise. This paper does not prove that every unprobed roster above or beside the compiled floor is admissible, and it does not use that unproved claim to drop candidate rungs.</w:t>
      </w:r>
    </w:p>
    <w:p>
      <w:pPr>
        <w:pStyle w:val="Heading3"/>
      </w:pPr>
      <w:r>
        <w:t>2.4 Hard-rule contract, solver, time contract and terminal states</w:t>
      </w:r>
    </w:p>
    <w:p>
      <w:r>
        <w:t xml:space="preserve">Feasibility is decided by the same hard-only CP-SAT satisfaction model as Paper 1 (Google OR-Tools CP-SAT version 9.12.4544, pinned in the contract; two workers, fixed seed), invoked read-only from the pinned product commit through an adapter whose case format (M1–M6) is derived from the model builder's own parser. The rule contract — daily role/shift coverage, forbidden transitions, consecutive-work and consecutive-night limits, night recovery, the monthly night cap, an </w:t>
      </w:r>
      <w:r>
        <w:rPr>
          <w:b/>
        </w:rPr>
        <w:t>exact</w:t>
      </w:r>
      <w:r>
        <w:t xml:space="preserve"> monthly count of pure off-days per non-manager (OF), role and seniority coverage, and prior-month continuity — is published as a machine-readable specification independent of the product code (</w:t>
      </w:r>
      <w:r>
        <w:t>output/spec_package/</w:t>
      </w:r>
      <w:r>
        <w:t xml:space="preserve">, </w:t>
      </w:r>
      <w:r>
        <w:t>RULE_CONTRACT</w:t>
      </w:r>
      <w:r>
        <w:t xml:space="preserve"> v1.0.2), and an extractor fails when the specification and the sealed code disagree. Every F is confirmed by an independent validator that shares no constants with the solver; the OF equality is additionally recomputed by the driver from every stored schedule.</w:t>
      </w:r>
    </w:p>
    <w:p>
      <w:r>
        <w:t xml:space="preserve">Each solve ascends the inherited deterministic-time ladder and ends in exactly one terminal state: </w:t>
      </w:r>
      <w:r>
        <w:rPr>
          <w:b/>
        </w:rPr>
        <w:t>F</w:t>
      </w:r>
      <w:r>
        <w:t xml:space="preserve"> (valid month found and validated), </w:t>
      </w:r>
      <w:r>
        <w:rPr>
          <w:b/>
        </w:rPr>
        <w:t>I</w:t>
      </w:r>
      <w:r>
        <w:t xml:space="preserve"> (infeasibility proved), </w:t>
      </w:r>
      <w:r>
        <w:rPr>
          <w:b/>
        </w:rPr>
        <w:t>T</w:t>
      </w:r>
      <w:r>
        <w:t xml:space="preserve"> (time-censored at the ladder's end), </w:t>
      </w:r>
      <w:r>
        <w:rPr>
          <w:b/>
        </w:rPr>
        <w:t>E</w:t>
      </w:r>
      <w:r>
        <w:t xml:space="preserve"> (execution error). T is censoring, not a requirement of any gate (lesson L1 of the programme: the anchor replication's overall NO-GO came from a </w:t>
      </w:r>
      <w:r>
        <w:t>T = 0</w:t>
      </w:r>
      <w:r>
        <w:t xml:space="preserve"> requirement that this design removed from the campaign gates). E is fail-closed: one terminal E halts the campaign. Integer count comparisons in the completion reader use exact rational arithmetic and ≥ at equality. Stored rounded whole-person M0/M1/M2 predictions are used unchanged; original rounding follows Python </w:t>
      </w:r>
      <w:r>
        <w:t>round</w:t>
      </w:r>
      <w:r>
        <w:t>. The ceil(1.6 W) comparison is explicitly post hoc.</w:t>
      </w:r>
    </w:p>
    <w:p>
      <w:pPr>
        <w:pStyle w:val="Heading3"/>
      </w:pPr>
      <w:r>
        <w:t>2.5 Response axis, two probabilities and two band constructions</w:t>
      </w:r>
    </w:p>
    <w:p>
      <w:r>
        <w:t>Per cell (x, arm, h) the original analysis reported the decided proportion p̂ = F/(F+I) with a Wilson interval (Wilson, 1927). On the screen, the crossing rung h* was the smallest h whose p̂ reached τ = 0.95; on the map, a window {h*−1, h*, h*+1} was re-measured at n = 500 and classified by a local adjacent-upward-crossing rule. After Stage C, every rung of a stair was pooled over its map draw and its Stage C draws and re-read by the same local rule. That local rule does not implement a global minimum when cell rates are nonmonotone or lower rungs are missing. Treating its output as H*(x; τ) was the principal interpretive error of v0.3.</w:t>
      </w:r>
    </w:p>
    <w:p>
      <w:r>
        <w:t>Two probability targets remain distinct. Conditional q is estimated only from decided F and I. The all-generated target concerns feasibility of every generated case, including those whose solver outcome was T; a denominator change alone does not identify their unobserved feasibility outcomes. Equality of the two is an assumption, not a finding. Two band constructions are therefore reported throughout §3:</w:t>
      </w:r>
    </w:p>
    <w:p>
      <w:pPr>
        <w:pStyle w:val="ListBullet"/>
      </w:pPr>
      <w:r>
        <w:rPr>
          <w:b/>
        </w:rPr>
        <w:t>Conditional mode.</w:t>
      </w:r>
      <w:r>
        <w:t xml:space="preserve"> A decided cell has band [F/(F+I), F/(F+I)]; a cell with no decisions has [0, 1].</w:t>
      </w:r>
    </w:p>
    <w:p>
      <w:pPr>
        <w:pStyle w:val="ListBullet"/>
      </w:pPr>
      <w:r>
        <w:rPr>
          <w:b/>
        </w:rPr>
        <w:t>Censoring mode.</w:t>
      </w:r>
      <w:r>
        <w:t xml:space="preserve"> A nonempty cell has band [F/n, (F+T)/n], n = F+I+T; a cell with no cases has [0, 1]. Synthetic T due to missing prior-month tails remains in n when present in the sealed pooled table.</w:t>
      </w:r>
    </w:p>
    <w:p>
      <w:r>
        <w:t>These bands express logical missing outcomes in a finite batch. They are not 95% confidence intervals, and they are not simultaneous surface bands.</w:t>
      </w:r>
    </w:p>
    <w:p>
      <w:pPr>
        <w:pStyle w:val="Heading3"/>
      </w:pPr>
      <w:r>
        <w:t>2.6 Completion-set reading of finite-batch cells</w:t>
      </w:r>
    </w:p>
    <w:p>
      <w:r>
        <w:t xml:space="preserve">A rung is </w:t>
      </w:r>
      <w:r>
        <w:rPr>
          <w:i/>
        </w:rPr>
        <w:t>certainly below</w:t>
      </w:r>
      <w:r>
        <w:t xml:space="preserve"> τ if its upper endpoint is below τ and </w:t>
      </w:r>
      <w:r>
        <w:rPr>
          <w:i/>
        </w:rPr>
        <w:t>certainly attaining</w:t>
      </w:r>
      <w:r>
        <w:t xml:space="preserve"> if its lower endpoint is at least τ. A possible first attainment is any rung not certainly below τ that has no earlier certainly attaining rung. Missing rungs remain possible: holes in the candidate set are preserved, because an interval envelope alone can mis-score within-one-person hits. If there is no certainly attaining rung, the reader retains an unbounded unresolved tail and possible nonattainment. No finite top-of-ladder surrogate is inserted. Direction below all finite candidates is reported only conditional on a finite minimum existing; when no finite candidate remains, "below" refers to the whole unbounded tail. No numerical error is assigned to nonattainment.</w:t>
      </w:r>
    </w:p>
    <w:p>
      <w:r>
        <w:rPr>
          <w:b/>
        </w:rPr>
        <w:t>Premises.</w:t>
      </w:r>
      <w:r>
        <w:t xml:space="preserve"> (i) The headcount offset h is an integer on the working domain h ≥ 0 (§2.3). (ii) Every rung h carries a closed band [L_h, U_h] ⊆ [0, 1] from §2.5; a rung that was never observed carries the vacuous band [0, 1], so it is neither certainly below nor certainly attaining. (iii) A </w:t>
      </w:r>
      <w:r>
        <w:rPr>
          <w:i/>
        </w:rPr>
        <w:t>completion</w:t>
      </w:r>
      <w:r>
        <w:t xml:space="preserve"> assigns one number p_h ∈ [L_h, U_h] to every rung; its first attainment is min{h : p_h ≥ τ}, or none. (iv) τ = 19/20 is compared in exact rational arithmetic and equality counts as attainment, so a rung with F/(F+I) = 285/300 attains. (v) No relation between rungs is imposed: shared tails, adaptive sampling and monotonicity never shrink the set.</w:t>
      </w:r>
    </w:p>
    <w:p>
      <w:r>
        <w:rPr>
          <w:b/>
        </w:rPr>
        <w:t>Set.</w:t>
      </w:r>
      <w:r>
        <w:t xml:space="preserve"> Let B = {h : U_h &lt; τ} (certainly below) and A = {h : L_h ≥ τ} (certainly attaining). The completion set is</w:t>
      </w:r>
    </w:p>
    <w:p>
      <w:r>
        <w:t>C = { h ≥ 0 : h ∉ B, and no h′ &lt; h lies in A }.</w:t>
      </w:r>
    </w:p>
    <w:p>
      <w:r>
        <w:t>If A is non-empty, C is finite and its largest element is min A; if A is empty, C contains every rung outside B, continues beyond the last observed rung as an unbounded tail, and nonattainment remains possible. C is exactly the set of first attainments over all completions: if a completion first attains at h, then p_h ≥ τ forces U_h ≥ τ and each earlier p_h′ &lt; τ forces L_h′ &lt; τ, so h ∈ C; conversely, for h ∈ C, the completion with p_h = U_h, p_h′ = L_h′ for all h′ &lt; h and arbitrary later values first attains at h. A singleton C = {min A} is the only case in which the finite-batch bands pin one first-attaining rung. Nothing in this construction asserts that the generator probabilities lie inside the bands; that is a sampling question the reader does not answer.</w:t>
      </w:r>
    </w:p>
    <w:p>
      <w:r>
        <w:rPr>
          <w:b/>
        </w:rPr>
        <w:t>Procedure.</w:t>
      </w:r>
      <w:r>
        <w:t xml:space="preserve"> (1) Form the band of each observed rung under the chosen mode; (2) mark A and B; (3) scan h = 0, 1, 2, … up to min A, or to the last observed rung when A is empty, keeping every rung not in B; the tail beyond the last observed rung is kept when A is empty. The implementation was unit-tested against all 3⁴ = 81 status patterns (missing, certainly below, certainly attaining) of a four-rung stair, each compared with brute-force enumeration of the 2⁴ attain-or-not completions of that stair.</w:t>
      </w:r>
    </w:p>
    <w:p>
      <w:r>
        <w:rPr>
          <w:b/>
        </w:rPr>
        <w:t>Worked examples</w:t>
      </w:r>
      <w:r>
        <w:t xml:space="preserve"> (Stage D, conditional mode, h = H − N₀). Condition x318 (N₀ = 31) observed h = 1, 2, 3 with F/(F+I) = 292/300, 282/300, 292/300: h = 1 and h = 3 are certainly attaining and h = 2 is certainly below. The local adjacent-upward-crossing rule reported h = 3 (H = 34) because it looked for a rise from below τ; the completion set is {0, 1}, because h = 0 was never observed and h = 1 already attains, so h = 3 cannot be a first attainment. Condition x350 (N₀ = 34) observed h = 0, 1 at 287/300, 280/300: the v0.3 vocabulary called the stair "unresolved" because the rate fell after h = 0, whereas the completion set is the singleton {0}. Condition x300 (N₀ = 36) observed only h = 9, 10, 11, all certainly below τ (279/300, 280/300, 279/300); the completion set keeps the unobserved lower rungs {0, 1, 2, 3, 4, 5, 6, 7, 8} and an unbounded tail from h = 12, so neither a finite minimum nor nonattainment is excluded.</w:t>
      </w:r>
    </w:p>
    <w:p>
      <w:r>
        <w:t>The working domain remains h ≥ 0. Cross-rung dependence induced by shared tails is not used to shrink the set. The resulting object is a conservative logical possibility set under the working domain, not a sharp population identified set. Re-scoring frozen predictions against that set does not repair invalid training labels (Sections 2.11 and 3.3).</w:t>
      </w:r>
    </w:p>
    <w:p>
      <w:r>
        <w:rPr>
          <w:b/>
        </w:rPr>
        <w:t>Controlled validation under designed truth.</w:t>
      </w:r>
      <w:r>
        <w:t xml:space="preserve"> Because the sets are logical, not statistical, their behaviour under sampling error was measured separately, without the solver (</w:t>
      </w:r>
      <w:r>
        <w:t>scripts/nrf2_reader_validation.py</w:t>
      </w:r>
      <w:r>
        <w:t xml:space="preserve">; results in §3.9). The truth is a designed per-rung probability curve on h = 0–12 — a step (0.90 → 0.97), a plateau within one standard error of τ (0.945 → 0.952), a dip after attainment (0.97, 0.93, 0.97), a ramp rising 0.006 per rung through τ (clipped to [0.90, 0.99]), and a curve that never attains (0.94) — with the true first attainment at h* ∈ {0, 3, 6}. Each replication draws a Stage D-like batch: a three-rung window centred at h* + offset for offsets −2 … +2 (a centre below the floor is raised to h = 0, giving the two-rung floor window of §2.10), n = 300 cases per rung, each case censored with probability 0, 0.02 or 0.10 independently of feasibility and otherwise decided F with probability p_h, so that conditional and all-generated targets coincide by design. The completion-set reader (conditional, censoring, and the censoring band widened by the §3.6 epsilons) and the v0.3 local adjacent-upward-crossing rule are imported unchanged from the sealed erratum code and from the map reader. Coverage means that the true first attainment lies in the completion set, or, for the never-attaining curve, that nonattainment is kept possible; a singleton is </w:t>
      </w:r>
      <w:r>
        <w:rPr>
          <w:i/>
        </w:rPr>
        <w:t>correct</w:t>
      </w:r>
      <w:r>
        <w:t xml:space="preserve"> when its one rung is the true one; the local rule is </w:t>
      </w:r>
      <w:r>
        <w:rPr>
          <w:i/>
        </w:rPr>
        <w:t>located and correct</w:t>
      </w:r>
      <w:r>
        <w:t xml:space="preserve"> when it names the true rung. 2000 replications per configuration, fixed seed. Designed curves are not ward populations, and no result of this check is a coverage statement about the campaign's own cells.</w:t>
      </w:r>
    </w:p>
    <w:p>
      <w:pPr>
        <w:pStyle w:val="Heading3"/>
      </w:pPr>
      <w:r>
        <w:t>2.7 Stage 0: pilots and the nonmonotone property audit</w:t>
      </w:r>
    </w:p>
    <w:p>
      <w:r>
        <w:t xml:space="preserve">Stage 0a executed 560 job pairs (F 970 / I 86 / T 64, E = 0) to verify the compiler, the adapter, the tail factory and the validator end-to-end under the contract. Stage 0b ran seven conditions × h = 0–6 × both arms × n = 50 (2,450 pairs; F 4,349 / I 348 / T 203) with a selection rule committed before Stage 0a's records were read, and its pre-specified two-rung extension added h = 7, 8 on the six conditions whose roster ceiling allowed it (600 pairs; F 1,118 / I 82 / T 0). The pilots' pre-specified property audit — descriptive, creating no threshold — found that the feasible rate does </w:t>
      </w:r>
      <w:r>
        <w:rPr>
          <w:b/>
        </w:rPr>
        <w:t>not</w:t>
      </w:r>
      <w:r>
        <w:t xml:space="preserve"> climb monotonically in h: 33 of 84 one-rung steps decreased (39 %) in Stage 0b and 43 of 108 (40 %) with the extension, with 9 of 14 stairs assigned the historical flat-within-noise label, and the two leave-load levels 0.2 and 0.8 had observed rates (p̂ 0.923 vs 0.929, overlapping Wilson intervals); these historical summaries do not establish equivalence or flat population curves. A further 550-pair probe on eleven unused conditions at h = 8 (F 1,026 / I 74 / T 0) found a residual shortfall on those additional conditions; this observation does not prove condition-invariance of the population probability. Two consequences were adopted as the </w:t>
      </w:r>
      <w:r>
        <w:rPr>
          <w:i/>
        </w:rPr>
        <w:t>next</w:t>
      </w:r>
      <w:r>
        <w:t xml:space="preserve"> stage's pre-specification, not as a criterion change: the GAM's monotonicity constraint on f(h) was removed (monotonicity is reported as a result, not imposed), and τ = 0.95 was kept.</w:t>
      </w:r>
    </w:p>
    <w:p>
      <w:r>
        <w:t>Nonmonotone finite-batch rates are therefore not an unexpected defect discovered after the holdout. They are an empirical feature of these batches. Regardless of whether a population curve is monotone, the observed nonmonotone rates cannot justify relabelling a local crossing as the first global attainment.</w:t>
      </w:r>
    </w:p>
    <w:p>
      <w:pPr>
        <w:pStyle w:val="Heading3"/>
      </w:pPr>
      <w:r>
        <w:t>2.8 Stage B: Sobol screen, promotion rule and map</w:t>
      </w:r>
    </w:p>
    <w:p>
      <w:r>
        <w:rPr>
          <w:b/>
        </w:rPr>
        <w:t>Screen.</w:t>
      </w:r>
      <w:r>
        <w:t xml:space="preserve"> 300 points of a scrambled Sobol sequence (Joe–Kuo direction numbers — Joe and Kuo, 2008 — with a derived digital shift; namespace </w:t>
      </w:r>
      <w:r>
        <w:t>r2-v1.0|stage-B-screen|sobol-v1</w:t>
      </w:r>
      <w:r>
        <w:t>) were mapped onto the box. Each point was run on both arms over the nine-rung stair h = 0–8 at n = 120 per cell, in two waves cut as prefixes of the Sobol sequence (179 and 121 points) so that a wave is never a cut across h.</w:t>
      </w:r>
    </w:p>
    <w:p>
      <w:r>
        <w:rPr>
          <w:b/>
        </w:rPr>
        <w:t>Promotion rule (frozen before Stage B produced any observation).</w:t>
      </w:r>
      <w:r>
        <w:t xml:space="preserve"> Per (point, arm): the smallest h whose decided screen proportion reaches τ = 0.95 is the crossing; that rung and its two neighbours, clipped to the stair, are promoted to the map at n = 500 on that arm only. A stair with no crossing is recorded </w:t>
      </w:r>
      <w:r>
        <w:t>boundary_not_located</w:t>
      </w:r>
      <w:r>
        <w:t xml:space="preserve"> and passed to Stage C's secondary level; a stair whose every cell is time-censored is recorded </w:t>
      </w:r>
      <w:r>
        <w:t>fully_censored</w:t>
      </w:r>
      <w:r>
        <w:t xml:space="preserve"> and not promoted. The no-crossing branch was specified from Stage 0b's measurement (4 of 14 stairs never crossed) rather than left to judgement.</w:t>
      </w:r>
    </w:p>
    <w:p>
      <w:r>
        <w:rPr>
          <w:b/>
        </w:rPr>
        <w:t>Map.</w:t>
      </w:r>
      <w:r>
        <w:t xml:space="preserve"> The promoted windows were solved at n = 500 with a per-cell tail bank of 16 (§2.9). The map's completion gate is mechanical (pair count, duplicate keys, manifest keys, one arm per pair, τ unchanged, contract hash, E = 0, condition round-trip, no F below N₀, validator agreement). Promotion counts and screen-crossing tallies are reported in Table 3. Promotion selected stairs that crossed on the screen; it did not produce a probability sample of the box, and it did not fill missing lower rungs needed for a global minimum.</w:t>
      </w:r>
    </w:p>
    <w:p>
      <w:pPr>
        <w:pStyle w:val="Heading3"/>
      </w:pPr>
      <w:r>
        <w:t>2.9 Prior-month tails: bank policy and dependence</w:t>
      </w:r>
    </w:p>
    <w:p>
      <w:r>
        <w:t xml:space="preserve">Every case needs a feasible previous month whose end state constrains the new month's start. Stages 0a and 0b generated one tail per case per arm. Stage B instead uses a </w:t>
      </w:r>
      <w:r>
        <w:rPr>
          <w:b/>
        </w:rPr>
        <w:t>bank</w:t>
      </w:r>
      <w:r>
        <w:t>: per cell and tail category (neutral, work-boundary, evening-boundary, night-recovery), one tail on the screen and four on the map, sized so that the number of instances sharing one tail matches Paper 1's realised reuse (128 sealed tails over 4,050 instances, ≈ 31.6 per tail): 30.0 at screen grade and 31.25 at map grade. Stage C inherits the map policy.</w:t>
      </w:r>
    </w:p>
    <w:p>
      <w:r>
        <w:t xml:space="preserve">The cost of banking is stated rather than smoothed over. A root reaches the tail through only two channels (the previous month's holiday selection and the sentinel), but those channels are nearly saturated: in one screen cell swept exhaustively, 120 roots produced 93 distinct holiday sets, 32 distinct sentinels and 117 distinct (holiday, sentinel) pairs. Banking therefore collapses real prior-month variation to a chosen resolution, and </w:t>
      </w:r>
      <w:r>
        <w:rPr>
          <w:b/>
        </w:rPr>
        <w:t>instances sharing a tail also share a prior-month input</w:t>
      </w:r>
      <w:r>
        <w:t>. Conditional independence given a bank and marginal independence over bank generation are different assumptions. Per-cell Wilson intervals do not propagate tail-bank uncertainty; their nominal coverage for the intended generator population has not been established. No sign or magnitude of a coverage error is estimated here. Resampling already-fixed stair labels does not propagate cell uncertainty through boundary reading. Stages 0a/0b (per-case tails) and Stages B/C/D (banked tails) differ in this respect, and pilot and map proportions are not pooled.</w:t>
      </w:r>
    </w:p>
    <w:p>
      <w:pPr>
        <w:pStyle w:val="Heading3"/>
      </w:pPr>
      <w:r>
        <w:t>2.10 Stage C infill and Stage D holdout, with corrected freeze timing</w:t>
      </w:r>
    </w:p>
    <w:p>
      <w:r>
        <w:t>Stage C and D were specified on 2026-09-02, while the map was running and before any map record had been read, and their selection rule was committed as a pure function of the map records, the screen summary and the contract before the records were aggregated. Applied mechanically to each promoted window at τ = 0.95 (h_c below denotes the historical local crossing, not the population H*):</w:t>
      </w:r>
    </w:p>
    <w:p>
      <w:pPr>
        <w:pStyle w:val="ListBullet"/>
      </w:pPr>
      <w:r>
        <w:rPr>
          <w:b/>
        </w:rPr>
        <w:t>R (located)</w:t>
      </w:r>
      <w:r>
        <w:t xml:space="preserve"> — a rung at or above τ whose next-lower rung is decided and below τ: eligible for precision infill (C-4: h_c and h_c−1 at n = 500 each, ordered by the crossing rung's margin |p̂ − τ|, until the budget is spent);</w:t>
      </w:r>
    </w:p>
    <w:p>
      <w:pPr>
        <w:pStyle w:val="ListBullet"/>
      </w:pPr>
      <w:r>
        <w:rPr>
          <w:b/>
        </w:rPr>
        <w:t>U (above or absent)</w:t>
      </w:r>
      <w:r>
        <w:t xml:space="preserve"> — every decided rung below τ: one upward extension, h_c+2 and h_c+3, at n = 500;</w:t>
      </w:r>
    </w:p>
    <w:p>
      <w:pPr>
        <w:pStyle w:val="ListBullet"/>
      </w:pPr>
      <w:r>
        <w:rPr>
          <w:b/>
        </w:rPr>
        <w:t>L (at or below)</w:t>
      </w:r>
      <w:r>
        <w:t xml:space="preserve"> — every decided rung at or above τ: one downward extension, h_c−2 and h_c−3 (h ≥ 0), at n = 500;</w:t>
      </w:r>
    </w:p>
    <w:p>
      <w:pPr>
        <w:pStyle w:val="ListBullet"/>
      </w:pPr>
      <w:r>
        <w:rPr>
          <w:b/>
        </w:rPr>
        <w:t>M (unresolved)</w:t>
      </w:r>
      <w:r>
        <w:t xml:space="preserve"> — a mixed window with no upward crossing, the non-monotone case the pilots measured; the rule treats it as R (no extension; eligible for precision infill at the smallest decided rung reaching τ) and reports it as its own class, because the three-type scheme of the original specification is not exhaustive when p̂ is not monotone.</w:t>
      </w:r>
    </w:p>
    <w:p>
      <w:r>
        <w:t xml:space="preserve">Extension rungs that the roster ceiling cannot build are excluded by a probe, not by a name list, and re-derived at every freeze. Screen stairs that never reached τ = 0.95 are </w:t>
      </w:r>
      <w:r>
        <w:rPr>
          <w:b/>
        </w:rPr>
        <w:t>not</w:t>
      </w:r>
      <w:r>
        <w:t xml:space="preserve"> given a wider window; instead the secondary level τ = 0.90 of the inherited grid is measured at map grade. Fully censored stairs are not solved in Stage C and are drawn as a T highland. Stage C is one pass with a mechanical completion gate; the case cap is 500,000. Stage C ran on a single machine — the same solve node that produced every map record — with the driver launching, per pair, the same fresh child process the map's transport layer launched (contract v1.2, clause S4 </w:t>
      </w:r>
      <w:r>
        <w:t>stage_C_single_node</w:t>
      </w:r>
      <w:r>
        <w:t>, adopted 2026-09-15). It halted once on an environment condition (the driver process exhausted the machine's commit limit), resumed from its own records after the page file was enlarged, re-solved nothing, and passed its 21-check gate.</w:t>
      </w:r>
    </w:p>
    <w:p>
      <w:r>
        <w:t>Stage D is the holdout: the next 64 points of the same Sobol sequence (indices 300–363 in the zero-based prefix-stable draw whose first 300 points are the screen), decouple arm, three rungs per point at the frozen analysis plan's predicted Ĥ*(x; 0.95) ± 1, n = 300 each, banked tails. A point whose pinned curve never reaches τ inside the ladder is excluded before solving (16 points; solve 0), leaving 48 solved conditions. A point predicted at the floor (predicted h = 0) has two rungs because h = −1 does not exist. The three Stage D rungs are centred on the pinned GAM's own prediction (M3). A local reference label chosen inside that window lies within one person of its centre by construction. This proximity concerns the observation rule and supplies no independent guarantee about a global minimum outside the window. The holdout flow is therefore 64 fixed new Sobol conditions → 16 unobserved exclusions → 48 solved conditions → a selected singleton subset. Neither the 540 promoted stairs nor that singleton subset is a random sample of real wards.</w:t>
      </w:r>
    </w:p>
    <w:p>
      <w:r>
        <w:t>The original Stage D plan named headcount MAE, within-one-person hit rate, under-estimation rate and holdout log-loss. This revision reports headcount errors only on the selected singletons and set compatibility on the available solved conditions, without a pass line or a claim of general accuracy. Log-loss evaluates fitted probabilities against decided F/I outcomes; it is not a completion-set score and remains in the historical analysis files rather than being presented as a corrected minimum-headcount result. Stage D ran on 2026-09-19 on the same single node and passed its 23-check gate. No model was refitted after Stage D.</w:t>
      </w:r>
    </w:p>
    <w:p>
      <w:pPr>
        <w:pStyle w:val="Heading3"/>
      </w:pPr>
      <w:r>
        <w:t>2.11 Analysis plan K as executed, including declared deviations</w:t>
      </w:r>
    </w:p>
    <w:p>
      <w:r>
        <w:t>The analysis plan was frozen with Stage C/D, as a list of intended operations; code and individual prediction freezes have the distinct timing disclosed above. What was actually executed, including deviations that matter for identification, is as follows.</w:t>
      </w:r>
    </w:p>
    <w:p>
      <w:r>
        <w:t xml:space="preserve">1. </w:t>
      </w:r>
      <w:r>
        <w:rPr>
          <w:b/>
        </w:rPr>
        <w:t>Primary probability surface.</w:t>
      </w:r>
      <w:r>
        <w:t xml:space="preserve"> Logistic GAM </w:t>
      </w:r>
      <w:r>
        <w:t>logit p = f(h) + Σ g_j(x_j) (+ h × λ_L)</w:t>
      </w:r>
      <w:r>
        <w:t xml:space="preserve"> (Hastie and Tibshirani, 1986; Wood, 2017), penalised splines on h, W, ν, ρ, λ_L, j, s and factor terms on OF and P; </w:t>
      </w:r>
      <w:r>
        <w:rPr>
          <w:b/>
        </w:rPr>
        <w:t>no monotonicity constraint on f</w:t>
      </w:r>
      <w:r>
        <w:t xml:space="preserve">; additive and h × λ_L specifications. Fitted per arm on binomial rows with pyGAM (Servén and Brummitt, 2018). Smoothing parameters were selected over the six-point lambda grid using the default pyGAM objective for the binomial model, </w:t>
      </w:r>
      <w:r>
        <w:rPr>
          <w:b/>
        </w:rPr>
        <w:t>UBRE</w:t>
      </w:r>
      <w:r>
        <w:t>. That smoothing selection is distinct from the grouped predictive evaluation later used on the nested arm. The v0.3 wording that smoothing was selected by grouped CV is incorrect.</w:t>
      </w:r>
    </w:p>
    <w:p>
      <w:r>
        <w:t xml:space="preserve">2. </w:t>
      </w:r>
      <w:r>
        <w:rPr>
          <w:b/>
        </w:rPr>
        <w:t>Comparator.</w:t>
      </w:r>
      <w:r>
        <w:t xml:space="preserve"> Plan K named a Gaussian-process classifier (Rasmussen and Williams, 2005; scikit-learn, Pedregosa et al., 2011). Implementation deviation, declared from the analysis code: a Bernoulli-row GP over the decided cases is not computable at this scale, so the working comparator is Gaussian-process </w:t>
      </w:r>
      <w:r>
        <w:rPr>
          <w:i/>
        </w:rPr>
        <w:t>regression on empirical logits</w:t>
      </w:r>
      <w:r>
        <w:t xml:space="preserve"> as a probability surrogate, with binomial variance as heteroscedastic noise. Same cells, same τ, different likelihood approximation. Alternative-model rows have different prediction availability and cannot be ranked as equal-denominator whole-design validation.</w:t>
      </w:r>
    </w:p>
    <w:p>
      <w:r>
        <w:t xml:space="preserve">3. </w:t>
      </w:r>
      <w:r>
        <w:rPr>
          <w:b/>
        </w:rPr>
        <w:t>Fitted-curve crossing surrogate.</w:t>
      </w:r>
      <w:r>
        <w:t xml:space="preserve"> The first rung at which the fitted curve reaches τ, on the ladder h = 0–11. If the curve never reaches τ inside the ladder the point is </w:t>
      </w:r>
      <w:r>
        <w:t>boundary_not_located</w:t>
      </w:r>
      <w:r>
        <w:t>.</w:t>
      </w:r>
    </w:p>
    <w:p>
      <w:r>
        <w:t xml:space="preserve">4. </w:t>
      </w:r>
      <w:r>
        <w:rPr>
          <w:b/>
        </w:rPr>
        <w:t>N₀/Δ decomposition</w:t>
      </w:r>
      <w:r>
        <w:t>, with partial-identification language already present in the plan. That language is now enforced: Δ is not reported as a validated global share where the global minimum is not identified.</w:t>
      </w:r>
    </w:p>
    <w:p>
      <w:r>
        <w:t xml:space="preserve">5. </w:t>
      </w:r>
      <w:r>
        <w:rPr>
          <w:b/>
        </w:rPr>
        <w:t>Formula ladder</w:t>
      </w:r>
      <w:r>
        <w:t xml:space="preserve"> — M0 = round(1.6 × W) → M1 linear, five terms → M2 with interactions, at most nine terms → M3 the GAM surface read at τ; forward-selected terms, with predictive evaluation kept distinct from smoothing-parameter selection. M1 and M2 were fitted on the pooled decouple stairs whose local reader had treated H* as a number. Those training labels include invalid global-minimum tags (§3.3). Re-scoring does not repair them; no refit is undertaken in this revision. Already examined Stage D cannot become a fresh independent validation set for any future refit.</w:t>
      </w:r>
    </w:p>
    <w:p>
      <w:r>
        <w:t xml:space="preserve">6. </w:t>
      </w:r>
      <w:r>
        <w:rPr>
          <w:b/>
        </w:rPr>
        <w:t>Uncertainty.</w:t>
      </w:r>
      <w:r>
        <w:t xml:space="preserve"> Wilson intervals per cell; percentile cluster bootstrap by Sobol point (B = 2,000) for descriptive quantities computed from already-fixed stair labels. That bootstrap does not propagate cell-level uncertainty through a boundary reader. Simultaneous probability/surface confidence bands, and an all-slice within-one-person confidence band, were planned (K6) and </w:t>
      </w:r>
      <w:r>
        <w:rPr>
          <w:b/>
        </w:rPr>
        <w:t>were not delivered</w:t>
      </w:r>
      <w:r>
        <w:t>. Fixed-label bootstrap is therefore insufficient for population inference about H*.</w:t>
      </w:r>
    </w:p>
    <w:p>
      <w:r>
        <w:t xml:space="preserve">7. </w:t>
      </w:r>
      <w:r>
        <w:rPr>
          <w:b/>
        </w:rPr>
        <w:t>Sobol decomposition</w:t>
      </w:r>
      <w:r>
        <w:t xml:space="preserve"> (Sobol', 1993) — first-order and total-effect indices by the Saltelli/Jansen estimators (Jansen, 1999; Saltelli et al., 2010) of a GAM-derived fitted-crossing surrogate, N₀, and their difference. When the fitted GAM does not reach τ, the calculation substitutes h = 12, one beyond the highest evaluated rung h = 11. The resulting indices describe this surrogate-and-substitution calculation. They cannot infer the variance decomposition of an unbounded or absent true global H*.</w:t>
      </w:r>
    </w:p>
    <w:p>
      <w:r>
        <w:t xml:space="preserve">Items 1–3 and 7 were fitted on screen + map + Stage C decided cells. Item 5's formulas used the pooled decouple stairs whose local H* was a number. For the decouple arm no cross-validation is reported as holdout replacement; Stage D is the only new-condition score, and it is now a descriptive completion-set comparison. The nested arm, which has no holdout, keeps grouped five-fold CV by Sobol point and is labelled </w:t>
      </w:r>
      <w:r>
        <w:t>CV</w:t>
      </w:r>
      <w:r>
        <w:t>. The interim artefacts of v0.1 remain unchanged on disk; every final artefact carries the hash of the stair table it was computed from. The plan-K fitting code and its frozen artefacts remain unchanged. The completion-set reader is a separate post hoc analysis; publication generators and checks were updated without refitting those models.</w:t>
      </w:r>
    </w:p>
    <w:p>
      <w:pPr>
        <w:pStyle w:val="Heading3"/>
      </w:pPr>
      <w:r>
        <w:t>2.12 Verification pack and corrected Anchor-002 history</w:t>
      </w:r>
    </w:p>
    <w:p>
      <w:r>
        <w:t xml:space="preserve">This programme's second study does not rest on a replication of Paper 1. Its core computational verification pack was executed before the Stage 0a campaign. The following list distinguishes that inherited evidence from current publication checks: </w:t>
      </w:r>
      <w:r>
        <w:rPr>
          <w:b/>
        </w:rPr>
        <w:t>(i)</w:t>
      </w:r>
      <w:r>
        <w:t xml:space="preserve"> specification conformity — the published rule contract is re-derived from the sealed code and the extractor fails on disagreement; </w:t>
      </w:r>
      <w:r>
        <w:rPr>
          <w:b/>
        </w:rPr>
        <w:t>(ii)</w:t>
      </w:r>
      <w:r>
        <w:t xml:space="preserve"> model-fingerprint identity — the re-implemented compiler reproduces, byte for byte, the model fingerprints of all 4,050 sealed Paper-1 roots (Gate A of the anchor replication, inherited); </w:t>
      </w:r>
      <w:r>
        <w:rPr>
          <w:b/>
        </w:rPr>
        <w:t>(iii)</w:t>
      </w:r>
      <w:r>
        <w:t xml:space="preserve"> differential verification — schedules that satisfy the published specification, fed as fixed assignments to the product model, are accepted by it: L0 checked 12,324 sealed feasible schedules with two independent checkers (0 disagreements; 72/72 negative-control mutations caught), L1 accepted 3,787 of 3,787 positive controls, L2 accepted 900 of 900 random and 150 of 150 targeted constructions, at 5,938 of the 6,000-record budget; </w:t>
      </w:r>
      <w:r>
        <w:rPr>
          <w:b/>
        </w:rPr>
        <w:t>(iv)</w:t>
      </w:r>
      <w:r>
        <w:t xml:space="preserve"> machine independence and determinism, inherited from Paper 1's qualification; </w:t>
      </w:r>
      <w:r>
        <w:rPr>
          <w:b/>
        </w:rPr>
        <w:t>(v)</w:t>
      </w:r>
      <w:r>
        <w:t xml:space="preserve"> current publication checks, added or updated after execution and run inside the regression suite — the manuscript number checker, the forbidden-term sweep, and the table generator and full-text binding used for this revision.</w:t>
      </w:r>
    </w:p>
    <w:p>
      <w:r>
        <w:rPr>
          <w:b/>
        </w:rPr>
        <w:t>Anchor history (mandatory statement).</w:t>
      </w:r>
      <w:r>
        <w:t xml:space="preserve"> Before this design, the programme attempted to enter the successor study through a statistical replication of Paper 1's three anchor cells. </w:t>
      </w:r>
      <w:r>
        <w:rPr>
          <w:b/>
        </w:rPr>
        <w:t>①</w:t>
      </w:r>
      <w:r>
        <w:t xml:space="preserve"> Two attempts were made and were ended by their pre-specified stopping rules; the worst-case family-wise error rate across the two attempts, under the programme's internally pre-specified definition, is 0.00274. </w:t>
      </w:r>
      <w:r>
        <w:rPr>
          <w:b/>
        </w:rPr>
        <w:t>②</w:t>
      </w:r>
      <w:r>
        <w:t xml:space="preserve"> In the second attempt all three equivalence intervals lay inside the stated ±4 pp margins. Inclusion of zero in those intervals is not a reason for failure of the equivalence criterion; the intervals satisfied the stated margins. The overall NO-GO decision remained because the additional zero-T requirement was not met, with one time-censored root in A24 and one in B32. That operational composite decision must not be restated as failure of equivalence solely because an interval included zero. </w:t>
      </w:r>
      <w:r>
        <w:rPr>
          <w:b/>
        </w:rPr>
        <w:t>③</w:t>
      </w:r>
      <w:r>
        <w:t xml:space="preserve"> Re-applying Paper 1's own benchmark rule (simultaneous Clopper–Pearson bounds; Clopper and Pearson, 1934) to the new counts, B32's label moved from </w:t>
      </w:r>
      <w:r>
        <w:t>does not meet</w:t>
      </w:r>
      <w:r>
        <w:t xml:space="preserve"> to </w:t>
      </w:r>
      <w:r>
        <w:t>indeterminate</w:t>
      </w:r>
      <w:r>
        <w:t xml:space="preserve">; that change came from an increase of 6 in F, independent of T. </w:t>
      </w:r>
      <w:r>
        <w:rPr>
          <w:b/>
        </w:rPr>
        <w:t>④</w:t>
      </w:r>
      <w:r>
        <w:t xml:space="preserve"> No claim is made that Paper 1's results were reproduced; what was achieved is self-implementation reproduction within this programme, and Paper 1 is unchanged by any of it. A fourth difference must be stated alongside the differences that had confounded the first attempt: the model builder source differs from the sealed Paper-1 attempt (</w:t>
      </w:r>
      <w:r>
        <w:t>39f56daa…</w:t>
      </w:r>
      <w:r>
        <w:t xml:space="preserve"> → </w:t>
      </w:r>
      <w:r>
        <w:t>43d112dd…</w:t>
      </w:r>
      <w:r>
        <w:t>; the added code is gated to non-primary arms, and Gate A reproduced all 4,050 sealed model-proto hashes with the current builder), so the difference is documented and empirically bounded rather than assumed away. No third anchor attempt exists and none is planned. The full replication report is the supplement (</w:t>
      </w:r>
      <w:r>
        <w:t>manuscript_paper2_anchor002_v0.2.md</w:t>
      </w:r>
      <w:r>
        <w:t>).</w:t>
      </w:r>
    </w:p>
    <w:p>
      <w:pPr>
        <w:pStyle w:val="Heading3"/>
      </w:pPr>
      <w:r>
        <w:t>2.13 Ethics</w:t>
      </w:r>
    </w:p>
    <w:p>
      <w:r>
        <w:t>Human-subjects research: not applicable — fully synthetic scenarios; no patient, staff or identifiable data.</w:t>
      </w:r>
    </w:p>
    <w:p>
      <w:pPr>
        <w:pStyle w:val="Heading2"/>
      </w:pPr>
      <w:r>
        <w:t>S4. Phase 2 — results (verbatim)</w:t>
      </w:r>
    </w:p>
    <w:p>
      <w:pPr>
        <w:pStyle w:val="Heading3"/>
      </w:pPr>
      <w:r>
        <w:t>3. Results</w:t>
      </w:r>
    </w:p>
    <w:p>
      <w:r>
        <w:t xml:space="preserve">The tables bind frozen execution reports to the separately audited post hoc completion-set analysis. </w:t>
      </w:r>
      <w:r>
        <w:rPr>
          <w:i/>
        </w:rPr>
        <w:t>Pooled map + Stage C</w:t>
      </w:r>
      <w:r>
        <w:t xml:space="preserve"> numbers describe the 540 promoted stairs and are in-sample for every model fitted on them. </w:t>
      </w:r>
      <w:r>
        <w:rPr>
          <w:i/>
        </w:rPr>
        <w:t>Stage D</w:t>
      </w:r>
      <w:r>
        <w:t xml:space="preserve"> numbers describe the designed-to-included-to-selected-singleton flow of §2.10. Completion-set counts are not counts of population thresholds located with statistical confidence. No result below is a patient-safety finding.</w:t>
      </w:r>
    </w:p>
    <w:p>
      <w:pPr>
        <w:pStyle w:val="Heading3"/>
      </w:pPr>
      <w:r>
        <w:t>3.1 Campaign execution</w:t>
      </w:r>
    </w:p>
    <w:p>
      <w:r>
        <w:t>Table 2 records pairs, terminal states and mechanical gates for the screen waves, the map, Stage C infill and Stage D. Table 3 records screen-to-map promotion.</w:t>
      </w:r>
    </w:p>
    <w:p>
      <w:r>
        <w:rPr>
          <w:b/>
        </w:rPr>
        <w:t>Table 2. Execution accounting.</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spacing w:line="240" w:lineRule="auto"/>
            </w:pPr>
            <w:r>
              <w:rPr>
                <w:sz w:val="16"/>
              </w:rPr>
            </w:r>
            <w:r>
              <w:rPr>
                <w:sz w:val="16"/>
              </w:rPr>
              <w:t>segment</w:t>
            </w:r>
          </w:p>
        </w:tc>
        <w:tc>
          <w:tcPr>
            <w:tcW w:type="dxa" w:w="1176"/>
          </w:tcPr>
          <w:p>
            <w:pPr>
              <w:spacing w:line="240" w:lineRule="auto"/>
            </w:pPr>
            <w:r>
              <w:rPr>
                <w:sz w:val="16"/>
              </w:rPr>
            </w:r>
            <w:r>
              <w:rPr>
                <w:sz w:val="16"/>
              </w:rPr>
              <w:t>planned pairs</w:t>
            </w:r>
          </w:p>
        </w:tc>
        <w:tc>
          <w:tcPr>
            <w:tcW w:type="dxa" w:w="1176"/>
          </w:tcPr>
          <w:p>
            <w:pPr>
              <w:spacing w:line="240" w:lineRule="auto"/>
            </w:pPr>
            <w:r>
              <w:rPr>
                <w:sz w:val="16"/>
              </w:rPr>
            </w:r>
            <w:r>
              <w:rPr>
                <w:sz w:val="16"/>
              </w:rPr>
              <w:t>accepted pairs</w:t>
            </w:r>
          </w:p>
        </w:tc>
        <w:tc>
          <w:tcPr>
            <w:tcW w:type="dxa" w:w="1176"/>
          </w:tcPr>
          <w:p>
            <w:pPr>
              <w:spacing w:line="240" w:lineRule="auto"/>
            </w:pPr>
            <w:r>
              <w:rPr>
                <w:sz w:val="16"/>
              </w:rPr>
            </w:r>
            <w:r>
              <w:rPr>
                <w:sz w:val="16"/>
              </w:rPr>
              <w:t>F</w:t>
            </w:r>
          </w:p>
        </w:tc>
        <w:tc>
          <w:tcPr>
            <w:tcW w:type="dxa" w:w="1176"/>
          </w:tcPr>
          <w:p>
            <w:pPr>
              <w:spacing w:line="240" w:lineRule="auto"/>
            </w:pPr>
            <w:r>
              <w:rPr>
                <w:sz w:val="16"/>
              </w:rPr>
            </w:r>
            <w:r>
              <w:rPr>
                <w:sz w:val="16"/>
              </w:rPr>
              <w:t>I</w:t>
            </w:r>
          </w:p>
        </w:tc>
        <w:tc>
          <w:tcPr>
            <w:tcW w:type="dxa" w:w="1176"/>
          </w:tcPr>
          <w:p>
            <w:pPr>
              <w:spacing w:line="240" w:lineRule="auto"/>
            </w:pPr>
            <w:r>
              <w:rPr>
                <w:sz w:val="16"/>
              </w:rPr>
            </w:r>
            <w:r>
              <w:rPr>
                <w:sz w:val="16"/>
              </w:rPr>
              <w:t>T</w:t>
            </w:r>
          </w:p>
        </w:tc>
        <w:tc>
          <w:tcPr>
            <w:tcW w:type="dxa" w:w="1176"/>
          </w:tcPr>
          <w:p>
            <w:pPr>
              <w:spacing w:line="240" w:lineRule="auto"/>
            </w:pPr>
            <w:r>
              <w:rPr>
                <w:sz w:val="16"/>
              </w:rPr>
            </w:r>
            <w:r>
              <w:rPr>
                <w:sz w:val="16"/>
              </w:rPr>
              <w:t>E</w:t>
            </w:r>
          </w:p>
        </w:tc>
        <w:tc>
          <w:tcPr>
            <w:tcW w:type="dxa" w:w="1176"/>
          </w:tcPr>
          <w:p>
            <w:pPr>
              <w:spacing w:line="240" w:lineRule="auto"/>
            </w:pPr>
            <w:r>
              <w:rPr>
                <w:sz w:val="16"/>
              </w:rPr>
            </w:r>
            <w:r>
              <w:rPr>
                <w:sz w:val="16"/>
              </w:rPr>
              <w:t>gate</w:t>
            </w:r>
          </w:p>
        </w:tc>
      </w:tr>
      <w:tr>
        <w:tc>
          <w:tcPr>
            <w:tcW w:type="dxa" w:w="1176"/>
          </w:tcPr>
          <w:p>
            <w:pPr>
              <w:spacing w:line="240" w:lineRule="auto"/>
            </w:pPr>
            <w:r>
              <w:rPr>
                <w:sz w:val="16"/>
              </w:rPr>
            </w:r>
            <w:r>
              <w:rPr>
                <w:sz w:val="16"/>
              </w:rPr>
              <w:t>B screen wave 1</w:t>
            </w:r>
          </w:p>
        </w:tc>
        <w:tc>
          <w:tcPr>
            <w:tcW w:type="dxa" w:w="1176"/>
          </w:tcPr>
          <w:p>
            <w:pPr>
              <w:spacing w:line="240" w:lineRule="auto"/>
            </w:pPr>
            <w:r>
              <w:rPr>
                <w:sz w:val="16"/>
              </w:rPr>
            </w:r>
            <w:r>
              <w:rPr>
                <w:sz w:val="16"/>
              </w:rPr>
              <w:t>199764</w:t>
            </w:r>
          </w:p>
        </w:tc>
        <w:tc>
          <w:tcPr>
            <w:tcW w:type="dxa" w:w="1176"/>
          </w:tcPr>
          <w:p>
            <w:pPr>
              <w:spacing w:line="240" w:lineRule="auto"/>
            </w:pPr>
            <w:r>
              <w:rPr>
                <w:sz w:val="16"/>
              </w:rPr>
            </w:r>
            <w:r>
              <w:rPr>
                <w:sz w:val="16"/>
              </w:rPr>
              <w:t>199764</w:t>
            </w:r>
          </w:p>
        </w:tc>
        <w:tc>
          <w:tcPr>
            <w:tcW w:type="dxa" w:w="1176"/>
          </w:tcPr>
          <w:p>
            <w:pPr>
              <w:spacing w:line="240" w:lineRule="auto"/>
            </w:pPr>
            <w:r>
              <w:rPr>
                <w:sz w:val="16"/>
              </w:rPr>
            </w:r>
            <w:r>
              <w:rPr>
                <w:sz w:val="16"/>
              </w:rPr>
              <w:t>329734</w:t>
            </w:r>
          </w:p>
        </w:tc>
        <w:tc>
          <w:tcPr>
            <w:tcW w:type="dxa" w:w="1176"/>
          </w:tcPr>
          <w:p>
            <w:pPr>
              <w:spacing w:line="240" w:lineRule="auto"/>
            </w:pPr>
            <w:r>
              <w:rPr>
                <w:sz w:val="16"/>
              </w:rPr>
            </w:r>
            <w:r>
              <w:rPr>
                <w:sz w:val="16"/>
              </w:rPr>
              <w:t>22580</w:t>
            </w:r>
          </w:p>
        </w:tc>
        <w:tc>
          <w:tcPr>
            <w:tcW w:type="dxa" w:w="1176"/>
          </w:tcPr>
          <w:p>
            <w:pPr>
              <w:spacing w:line="240" w:lineRule="auto"/>
            </w:pPr>
            <w:r>
              <w:rPr>
                <w:sz w:val="16"/>
              </w:rPr>
            </w:r>
            <w:r>
              <w:rPr>
                <w:sz w:val="16"/>
              </w:rPr>
              <w:t>35373</w:t>
            </w:r>
          </w:p>
        </w:tc>
        <w:tc>
          <w:tcPr>
            <w:tcW w:type="dxa" w:w="1176"/>
          </w:tcPr>
          <w:p>
            <w:pPr>
              <w:spacing w:line="240" w:lineRule="auto"/>
            </w:pPr>
            <w:r>
              <w:rPr>
                <w:sz w:val="16"/>
              </w:rPr>
            </w:r>
            <w:r>
              <w:rPr>
                <w:sz w:val="16"/>
              </w:rPr>
              <w:t>0</w:t>
            </w:r>
          </w:p>
        </w:tc>
        <w:tc>
          <w:tcPr>
            <w:tcW w:type="dxa" w:w="1176"/>
          </w:tcPr>
          <w:p>
            <w:pPr>
              <w:spacing w:line="240" w:lineRule="auto"/>
            </w:pPr>
            <w:r>
              <w:rPr>
                <w:sz w:val="16"/>
              </w:rPr>
            </w:r>
            <w:r>
              <w:rPr>
                <w:sz w:val="16"/>
              </w:rPr>
              <w:t>PASS</w:t>
            </w:r>
          </w:p>
        </w:tc>
      </w:tr>
      <w:tr>
        <w:tc>
          <w:tcPr>
            <w:tcW w:type="dxa" w:w="1176"/>
          </w:tcPr>
          <w:p>
            <w:pPr>
              <w:spacing w:line="240" w:lineRule="auto"/>
            </w:pPr>
            <w:r>
              <w:rPr>
                <w:sz w:val="16"/>
              </w:rPr>
            </w:r>
            <w:r>
              <w:rPr>
                <w:sz w:val="16"/>
              </w:rPr>
              <w:t>B screen wave 2</w:t>
            </w:r>
          </w:p>
        </w:tc>
        <w:tc>
          <w:tcPr>
            <w:tcW w:type="dxa" w:w="1176"/>
          </w:tcPr>
          <w:p>
            <w:pPr>
              <w:spacing w:line="240" w:lineRule="auto"/>
            </w:pPr>
            <w:r>
              <w:rPr>
                <w:sz w:val="16"/>
              </w:rPr>
            </w:r>
            <w:r>
              <w:rPr>
                <w:sz w:val="16"/>
              </w:rPr>
              <w:t>135036</w:t>
            </w:r>
          </w:p>
        </w:tc>
        <w:tc>
          <w:tcPr>
            <w:tcW w:type="dxa" w:w="1176"/>
          </w:tcPr>
          <w:p>
            <w:pPr>
              <w:spacing w:line="240" w:lineRule="auto"/>
            </w:pPr>
            <w:r>
              <w:rPr>
                <w:sz w:val="16"/>
              </w:rPr>
            </w:r>
            <w:r>
              <w:rPr>
                <w:sz w:val="16"/>
              </w:rPr>
              <w:t>135036</w:t>
            </w:r>
          </w:p>
        </w:tc>
        <w:tc>
          <w:tcPr>
            <w:tcW w:type="dxa" w:w="1176"/>
          </w:tcPr>
          <w:p>
            <w:pPr>
              <w:spacing w:line="240" w:lineRule="auto"/>
            </w:pPr>
            <w:r>
              <w:rPr>
                <w:sz w:val="16"/>
              </w:rPr>
            </w:r>
            <w:r>
              <w:rPr>
                <w:sz w:val="16"/>
              </w:rPr>
              <w:t>223360</w:t>
            </w:r>
          </w:p>
        </w:tc>
        <w:tc>
          <w:tcPr>
            <w:tcW w:type="dxa" w:w="1176"/>
          </w:tcPr>
          <w:p>
            <w:pPr>
              <w:spacing w:line="240" w:lineRule="auto"/>
            </w:pPr>
            <w:r>
              <w:rPr>
                <w:sz w:val="16"/>
              </w:rPr>
            </w:r>
            <w:r>
              <w:rPr>
                <w:sz w:val="16"/>
              </w:rPr>
              <w:t>14302</w:t>
            </w:r>
          </w:p>
        </w:tc>
        <w:tc>
          <w:tcPr>
            <w:tcW w:type="dxa" w:w="1176"/>
          </w:tcPr>
          <w:p>
            <w:pPr>
              <w:spacing w:line="240" w:lineRule="auto"/>
            </w:pPr>
            <w:r>
              <w:rPr>
                <w:sz w:val="16"/>
              </w:rPr>
            </w:r>
            <w:r>
              <w:rPr>
                <w:sz w:val="16"/>
              </w:rPr>
              <w:t>24438</w:t>
            </w:r>
          </w:p>
        </w:tc>
        <w:tc>
          <w:tcPr>
            <w:tcW w:type="dxa" w:w="1176"/>
          </w:tcPr>
          <w:p>
            <w:pPr>
              <w:spacing w:line="240" w:lineRule="auto"/>
            </w:pPr>
            <w:r>
              <w:rPr>
                <w:sz w:val="16"/>
              </w:rPr>
            </w:r>
            <w:r>
              <w:rPr>
                <w:sz w:val="16"/>
              </w:rPr>
              <w:t>0</w:t>
            </w:r>
          </w:p>
        </w:tc>
        <w:tc>
          <w:tcPr>
            <w:tcW w:type="dxa" w:w="1176"/>
          </w:tcPr>
          <w:p>
            <w:pPr>
              <w:spacing w:line="240" w:lineRule="auto"/>
            </w:pPr>
            <w:r>
              <w:rPr>
                <w:sz w:val="16"/>
              </w:rPr>
            </w:r>
            <w:r>
              <w:rPr>
                <w:sz w:val="16"/>
              </w:rPr>
              <w:t>PASS</w:t>
            </w:r>
          </w:p>
        </w:tc>
      </w:tr>
      <w:tr>
        <w:tc>
          <w:tcPr>
            <w:tcW w:type="dxa" w:w="1176"/>
          </w:tcPr>
          <w:p>
            <w:pPr>
              <w:spacing w:line="240" w:lineRule="auto"/>
            </w:pPr>
            <w:r>
              <w:rPr>
                <w:sz w:val="16"/>
              </w:rPr>
            </w:r>
            <w:r>
              <w:rPr>
                <w:sz w:val="16"/>
              </w:rPr>
              <w:t>B map</w:t>
            </w:r>
          </w:p>
        </w:tc>
        <w:tc>
          <w:tcPr>
            <w:tcW w:type="dxa" w:w="1176"/>
          </w:tcPr>
          <w:p>
            <w:pPr>
              <w:spacing w:line="240" w:lineRule="auto"/>
            </w:pPr>
            <w:r>
              <w:rPr>
                <w:sz w:val="16"/>
              </w:rPr>
            </w:r>
            <w:r>
              <w:rPr>
                <w:sz w:val="16"/>
              </w:rPr>
              <w:t>713112</w:t>
            </w:r>
          </w:p>
        </w:tc>
        <w:tc>
          <w:tcPr>
            <w:tcW w:type="dxa" w:w="1176"/>
          </w:tcPr>
          <w:p>
            <w:pPr>
              <w:spacing w:line="240" w:lineRule="auto"/>
            </w:pPr>
            <w:r>
              <w:rPr>
                <w:sz w:val="16"/>
              </w:rPr>
            </w:r>
            <w:r>
              <w:rPr>
                <w:sz w:val="16"/>
              </w:rPr>
              <w:t>713112</w:t>
            </w:r>
          </w:p>
        </w:tc>
        <w:tc>
          <w:tcPr>
            <w:tcW w:type="dxa" w:w="1176"/>
          </w:tcPr>
          <w:p>
            <w:pPr>
              <w:spacing w:line="240" w:lineRule="auto"/>
            </w:pPr>
            <w:r>
              <w:rPr>
                <w:sz w:val="16"/>
              </w:rPr>
            </w:r>
            <w:r>
              <w:rPr>
                <w:sz w:val="16"/>
              </w:rPr>
              <w:t>638488</w:t>
            </w:r>
          </w:p>
        </w:tc>
        <w:tc>
          <w:tcPr>
            <w:tcW w:type="dxa" w:w="1176"/>
          </w:tcPr>
          <w:p>
            <w:pPr>
              <w:spacing w:line="240" w:lineRule="auto"/>
            </w:pPr>
            <w:r>
              <w:rPr>
                <w:sz w:val="16"/>
              </w:rPr>
            </w:r>
            <w:r>
              <w:rPr>
                <w:sz w:val="16"/>
              </w:rPr>
              <w:t>40193</w:t>
            </w:r>
          </w:p>
        </w:tc>
        <w:tc>
          <w:tcPr>
            <w:tcW w:type="dxa" w:w="1176"/>
          </w:tcPr>
          <w:p>
            <w:pPr>
              <w:spacing w:line="240" w:lineRule="auto"/>
            </w:pPr>
            <w:r>
              <w:rPr>
                <w:sz w:val="16"/>
              </w:rPr>
            </w:r>
            <w:r>
              <w:rPr>
                <w:sz w:val="16"/>
              </w:rPr>
              <w:t>12657</w:t>
            </w:r>
          </w:p>
        </w:tc>
        <w:tc>
          <w:tcPr>
            <w:tcW w:type="dxa" w:w="1176"/>
          </w:tcPr>
          <w:p>
            <w:pPr>
              <w:spacing w:line="240" w:lineRule="auto"/>
            </w:pPr>
            <w:r>
              <w:rPr>
                <w:sz w:val="16"/>
              </w:rPr>
            </w:r>
            <w:r>
              <w:rPr>
                <w:sz w:val="16"/>
              </w:rPr>
              <w:t>0</w:t>
            </w:r>
          </w:p>
        </w:tc>
        <w:tc>
          <w:tcPr>
            <w:tcW w:type="dxa" w:w="1176"/>
          </w:tcPr>
          <w:p>
            <w:pPr>
              <w:spacing w:line="240" w:lineRule="auto"/>
            </w:pPr>
            <w:r>
              <w:rPr>
                <w:sz w:val="16"/>
              </w:rPr>
            </w:r>
            <w:r>
              <w:rPr>
                <w:sz w:val="16"/>
              </w:rPr>
              <w:t>PASS</w:t>
            </w:r>
          </w:p>
        </w:tc>
      </w:tr>
      <w:tr>
        <w:tc>
          <w:tcPr>
            <w:tcW w:type="dxa" w:w="1176"/>
          </w:tcPr>
          <w:p>
            <w:pPr>
              <w:spacing w:line="240" w:lineRule="auto"/>
            </w:pPr>
            <w:r>
              <w:rPr>
                <w:sz w:val="16"/>
              </w:rPr>
            </w:r>
            <w:r>
              <w:rPr>
                <w:sz w:val="16"/>
              </w:rPr>
              <w:t>C infill</w:t>
            </w:r>
          </w:p>
        </w:tc>
        <w:tc>
          <w:tcPr>
            <w:tcW w:type="dxa" w:w="1176"/>
          </w:tcPr>
          <w:p>
            <w:pPr>
              <w:spacing w:line="240" w:lineRule="auto"/>
            </w:pPr>
            <w:r>
              <w:rPr>
                <w:sz w:val="16"/>
              </w:rPr>
            </w:r>
            <w:r>
              <w:rPr>
                <w:sz w:val="16"/>
              </w:rPr>
              <w:t>459240</w:t>
            </w:r>
          </w:p>
        </w:tc>
        <w:tc>
          <w:tcPr>
            <w:tcW w:type="dxa" w:w="1176"/>
          </w:tcPr>
          <w:p>
            <w:pPr>
              <w:spacing w:line="240" w:lineRule="auto"/>
            </w:pPr>
            <w:r>
              <w:rPr>
                <w:sz w:val="16"/>
              </w:rPr>
            </w:r>
            <w:r>
              <w:rPr>
                <w:sz w:val="16"/>
              </w:rPr>
              <w:t>459240</w:t>
            </w:r>
          </w:p>
        </w:tc>
        <w:tc>
          <w:tcPr>
            <w:tcW w:type="dxa" w:w="1176"/>
          </w:tcPr>
          <w:p>
            <w:pPr>
              <w:spacing w:line="240" w:lineRule="auto"/>
            </w:pPr>
            <w:r>
              <w:rPr>
                <w:sz w:val="16"/>
              </w:rPr>
            </w:r>
            <w:r>
              <w:rPr>
                <w:sz w:val="16"/>
              </w:rPr>
              <w:t>404273</w:t>
            </w:r>
          </w:p>
        </w:tc>
        <w:tc>
          <w:tcPr>
            <w:tcW w:type="dxa" w:w="1176"/>
          </w:tcPr>
          <w:p>
            <w:pPr>
              <w:spacing w:line="240" w:lineRule="auto"/>
            </w:pPr>
            <w:r>
              <w:rPr>
                <w:sz w:val="16"/>
              </w:rPr>
            </w:r>
            <w:r>
              <w:rPr>
                <w:sz w:val="16"/>
              </w:rPr>
              <w:t>27784</w:t>
            </w:r>
          </w:p>
        </w:tc>
        <w:tc>
          <w:tcPr>
            <w:tcW w:type="dxa" w:w="1176"/>
          </w:tcPr>
          <w:p>
            <w:pPr>
              <w:spacing w:line="240" w:lineRule="auto"/>
            </w:pPr>
            <w:r>
              <w:rPr>
                <w:sz w:val="16"/>
              </w:rPr>
            </w:r>
            <w:r>
              <w:rPr>
                <w:sz w:val="16"/>
              </w:rPr>
              <w:t>13287</w:t>
            </w:r>
          </w:p>
        </w:tc>
        <w:tc>
          <w:tcPr>
            <w:tcW w:type="dxa" w:w="1176"/>
          </w:tcPr>
          <w:p>
            <w:pPr>
              <w:spacing w:line="240" w:lineRule="auto"/>
            </w:pPr>
            <w:r>
              <w:rPr>
                <w:sz w:val="16"/>
              </w:rPr>
            </w:r>
            <w:r>
              <w:rPr>
                <w:sz w:val="16"/>
              </w:rPr>
              <w:t>0</w:t>
            </w:r>
          </w:p>
        </w:tc>
        <w:tc>
          <w:tcPr>
            <w:tcW w:type="dxa" w:w="1176"/>
          </w:tcPr>
          <w:p>
            <w:pPr>
              <w:spacing w:line="240" w:lineRule="auto"/>
            </w:pPr>
            <w:r>
              <w:rPr>
                <w:sz w:val="16"/>
              </w:rPr>
            </w:r>
            <w:r>
              <w:rPr>
                <w:sz w:val="16"/>
              </w:rPr>
              <w:t>PASS</w:t>
            </w:r>
          </w:p>
        </w:tc>
      </w:tr>
      <w:tr>
        <w:tc>
          <w:tcPr>
            <w:tcW w:type="dxa" w:w="1176"/>
          </w:tcPr>
          <w:p>
            <w:pPr>
              <w:spacing w:line="240" w:lineRule="auto"/>
            </w:pPr>
            <w:r>
              <w:rPr>
                <w:sz w:val="16"/>
              </w:rPr>
            </w:r>
            <w:r>
              <w:rPr>
                <w:sz w:val="16"/>
              </w:rPr>
              <w:t>D holdout</w:t>
            </w:r>
          </w:p>
        </w:tc>
        <w:tc>
          <w:tcPr>
            <w:tcW w:type="dxa" w:w="1176"/>
          </w:tcPr>
          <w:p>
            <w:pPr>
              <w:spacing w:line="240" w:lineRule="auto"/>
            </w:pPr>
            <w:r>
              <w:rPr>
                <w:sz w:val="16"/>
              </w:rPr>
            </w:r>
            <w:r>
              <w:rPr>
                <w:sz w:val="16"/>
              </w:rPr>
              <w:t>43292</w:t>
            </w:r>
          </w:p>
        </w:tc>
        <w:tc>
          <w:tcPr>
            <w:tcW w:type="dxa" w:w="1176"/>
          </w:tcPr>
          <w:p>
            <w:pPr>
              <w:spacing w:line="240" w:lineRule="auto"/>
            </w:pPr>
            <w:r>
              <w:rPr>
                <w:sz w:val="16"/>
              </w:rPr>
            </w:r>
            <w:r>
              <w:rPr>
                <w:sz w:val="16"/>
              </w:rPr>
              <w:t>43292</w:t>
            </w:r>
          </w:p>
        </w:tc>
        <w:tc>
          <w:tcPr>
            <w:tcW w:type="dxa" w:w="1176"/>
          </w:tcPr>
          <w:p>
            <w:pPr>
              <w:spacing w:line="240" w:lineRule="auto"/>
            </w:pPr>
            <w:r>
              <w:rPr>
                <w:sz w:val="16"/>
              </w:rPr>
            </w:r>
            <w:r>
              <w:rPr>
                <w:sz w:val="16"/>
              </w:rPr>
              <w:t>38791</w:t>
            </w:r>
          </w:p>
        </w:tc>
        <w:tc>
          <w:tcPr>
            <w:tcW w:type="dxa" w:w="1176"/>
          </w:tcPr>
          <w:p>
            <w:pPr>
              <w:spacing w:line="240" w:lineRule="auto"/>
            </w:pPr>
            <w:r>
              <w:rPr>
                <w:sz w:val="16"/>
              </w:rPr>
            </w:r>
            <w:r>
              <w:rPr>
                <w:sz w:val="16"/>
              </w:rPr>
              <w:t>2225</w:t>
            </w:r>
          </w:p>
        </w:tc>
        <w:tc>
          <w:tcPr>
            <w:tcW w:type="dxa" w:w="1176"/>
          </w:tcPr>
          <w:p>
            <w:pPr>
              <w:spacing w:line="240" w:lineRule="auto"/>
            </w:pPr>
            <w:r>
              <w:rPr>
                <w:sz w:val="16"/>
              </w:rPr>
            </w:r>
            <w:r>
              <w:rPr>
                <w:sz w:val="16"/>
              </w:rPr>
              <w:t>84</w:t>
            </w:r>
          </w:p>
        </w:tc>
        <w:tc>
          <w:tcPr>
            <w:tcW w:type="dxa" w:w="1176"/>
          </w:tcPr>
          <w:p>
            <w:pPr>
              <w:spacing w:line="240" w:lineRule="auto"/>
            </w:pPr>
            <w:r>
              <w:rPr>
                <w:sz w:val="16"/>
              </w:rPr>
            </w:r>
            <w:r>
              <w:rPr>
                <w:sz w:val="16"/>
              </w:rPr>
              <w:t>0</w:t>
            </w:r>
          </w:p>
        </w:tc>
        <w:tc>
          <w:tcPr>
            <w:tcW w:type="dxa" w:w="1176"/>
          </w:tcPr>
          <w:p>
            <w:pPr>
              <w:spacing w:line="240" w:lineRule="auto"/>
            </w:pPr>
            <w:r>
              <w:rPr>
                <w:sz w:val="16"/>
              </w:rPr>
            </w:r>
            <w:r>
              <w:rPr>
                <w:sz w:val="16"/>
              </w:rPr>
              <w:t>PASS</w:t>
            </w:r>
          </w:p>
        </w:tc>
      </w:tr>
    </w:tbl>
    <w:p/>
    <w:p>
      <w:r>
        <w:t>Pairs and arm states are distinct accounting units in the frozen reports. F/I/T denote feasible/infeasible/time-censored outcomes; E is a fail-closed error. Conditional rates exclude T; finite-batch censoring bands retain T, including recorded dependent cases whose banked tail did not decide. Completion gates verify execution accounting, not scientific identification.</w:t>
      </w:r>
    </w:p>
    <w:p>
      <w:r>
        <w:rPr>
          <w:b/>
        </w:rPr>
        <w:t>Table 3. Historical screen promotion.</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pPr>
            <w:r>
              <w:rPr>
                <w:sz w:val="16"/>
              </w:rPr>
            </w:r>
            <w:r>
              <w:rPr>
                <w:sz w:val="16"/>
              </w:rPr>
              <w:t>historical selection quantity</w:t>
            </w:r>
          </w:p>
        </w:tc>
        <w:tc>
          <w:tcPr>
            <w:tcW w:type="dxa" w:w="4703"/>
          </w:tcPr>
          <w:p>
            <w:pPr>
              <w:spacing w:line="240" w:lineRule="auto"/>
            </w:pPr>
            <w:r>
              <w:rPr>
                <w:sz w:val="16"/>
              </w:rPr>
            </w:r>
            <w:r>
              <w:rPr>
                <w:sz w:val="16"/>
              </w:rPr>
              <w:t>count</w:t>
            </w:r>
          </w:p>
        </w:tc>
      </w:tr>
      <w:tr>
        <w:tc>
          <w:tcPr>
            <w:tcW w:type="dxa" w:w="4703"/>
          </w:tcPr>
          <w:p>
            <w:pPr>
              <w:spacing w:line="240" w:lineRule="auto"/>
            </w:pPr>
            <w:r>
              <w:rPr>
                <w:sz w:val="16"/>
              </w:rPr>
            </w:r>
            <w:r>
              <w:rPr>
                <w:sz w:val="16"/>
              </w:rPr>
              <w:t>stairs</w:t>
            </w:r>
          </w:p>
        </w:tc>
        <w:tc>
          <w:tcPr>
            <w:tcW w:type="dxa" w:w="4703"/>
          </w:tcPr>
          <w:p>
            <w:pPr>
              <w:spacing w:line="240" w:lineRule="auto"/>
            </w:pPr>
            <w:r>
              <w:rPr>
                <w:sz w:val="16"/>
              </w:rPr>
            </w:r>
            <w:r>
              <w:rPr>
                <w:sz w:val="16"/>
              </w:rPr>
              <w:t>600</w:t>
            </w:r>
          </w:p>
        </w:tc>
      </w:tr>
      <w:tr>
        <w:tc>
          <w:tcPr>
            <w:tcW w:type="dxa" w:w="4703"/>
          </w:tcPr>
          <w:p>
            <w:pPr>
              <w:spacing w:line="240" w:lineRule="auto"/>
            </w:pPr>
            <w:r>
              <w:rPr>
                <w:sz w:val="16"/>
              </w:rPr>
            </w:r>
            <w:r>
              <w:rPr>
                <w:sz w:val="16"/>
              </w:rPr>
              <w:t>promoted</w:t>
            </w:r>
          </w:p>
        </w:tc>
        <w:tc>
          <w:tcPr>
            <w:tcW w:type="dxa" w:w="4703"/>
          </w:tcPr>
          <w:p>
            <w:pPr>
              <w:spacing w:line="240" w:lineRule="auto"/>
            </w:pPr>
            <w:r>
              <w:rPr>
                <w:sz w:val="16"/>
              </w:rPr>
            </w:r>
            <w:r>
              <w:rPr>
                <w:sz w:val="16"/>
              </w:rPr>
              <w:t>540</w:t>
            </w:r>
          </w:p>
        </w:tc>
      </w:tr>
      <w:tr>
        <w:tc>
          <w:tcPr>
            <w:tcW w:type="dxa" w:w="4703"/>
          </w:tcPr>
          <w:p>
            <w:pPr>
              <w:spacing w:line="240" w:lineRule="auto"/>
            </w:pPr>
            <w:r>
              <w:rPr>
                <w:sz w:val="16"/>
              </w:rPr>
            </w:r>
            <w:r>
              <w:rPr>
                <w:sz w:val="16"/>
              </w:rPr>
              <w:t>boundary_not_located</w:t>
            </w:r>
          </w:p>
        </w:tc>
        <w:tc>
          <w:tcPr>
            <w:tcW w:type="dxa" w:w="4703"/>
          </w:tcPr>
          <w:p>
            <w:pPr>
              <w:spacing w:line="240" w:lineRule="auto"/>
            </w:pPr>
            <w:r>
              <w:rPr>
                <w:sz w:val="16"/>
              </w:rPr>
            </w:r>
            <w:r>
              <w:rPr>
                <w:sz w:val="16"/>
              </w:rPr>
              <w:t>46</w:t>
            </w:r>
          </w:p>
        </w:tc>
      </w:tr>
      <w:tr>
        <w:tc>
          <w:tcPr>
            <w:tcW w:type="dxa" w:w="4703"/>
          </w:tcPr>
          <w:p>
            <w:pPr>
              <w:spacing w:line="240" w:lineRule="auto"/>
            </w:pPr>
            <w:r>
              <w:rPr>
                <w:sz w:val="16"/>
              </w:rPr>
            </w:r>
            <w:r>
              <w:rPr>
                <w:sz w:val="16"/>
              </w:rPr>
              <w:t>fully_censored</w:t>
            </w:r>
          </w:p>
        </w:tc>
        <w:tc>
          <w:tcPr>
            <w:tcW w:type="dxa" w:w="4703"/>
          </w:tcPr>
          <w:p>
            <w:pPr>
              <w:spacing w:line="240" w:lineRule="auto"/>
            </w:pPr>
            <w:r>
              <w:rPr>
                <w:sz w:val="16"/>
              </w:rPr>
            </w:r>
            <w:r>
              <w:rPr>
                <w:sz w:val="16"/>
              </w:rPr>
              <w:t>14</w:t>
            </w:r>
          </w:p>
        </w:tc>
      </w:tr>
      <w:tr>
        <w:tc>
          <w:tcPr>
            <w:tcW w:type="dxa" w:w="4703"/>
          </w:tcPr>
          <w:p>
            <w:pPr>
              <w:spacing w:line="240" w:lineRule="auto"/>
            </w:pPr>
            <w:r>
              <w:rPr>
                <w:sz w:val="16"/>
              </w:rPr>
            </w:r>
            <w:r>
              <w:rPr>
                <w:sz w:val="16"/>
              </w:rPr>
              <w:t>map_cells</w:t>
            </w:r>
          </w:p>
        </w:tc>
        <w:tc>
          <w:tcPr>
            <w:tcW w:type="dxa" w:w="4703"/>
          </w:tcPr>
          <w:p>
            <w:pPr>
              <w:spacing w:line="240" w:lineRule="auto"/>
            </w:pPr>
            <w:r>
              <w:rPr>
                <w:sz w:val="16"/>
              </w:rPr>
            </w:r>
            <w:r>
              <w:rPr>
                <w:sz w:val="16"/>
              </w:rPr>
              <w:t>1382</w:t>
            </w:r>
          </w:p>
        </w:tc>
      </w:tr>
    </w:tbl>
    <w:p/>
    <w:p>
      <w:r>
        <w:t>These frozen screen labels selected subsequent windows; they do not establish global minima. Map+C pooled promoted stairs are the primary re-reading cohort; secondary-level stairs are separate.</w:t>
      </w:r>
    </w:p>
    <w:p>
      <w:r>
        <w:t>All segments completed with E = 0 and passed their mechanical gates. Off-day equality was re-derived from stored feasible schedules on the map, Stage C and Stage D with zero violations, so the OF axis moves the validator's own arithmetic, not only the compiled case. Tail-decision and current-month T fractions are those of the sealed reports; they are accounting facts, not a new raw-record audit. Campaign execution and record accounting are retained within that audited scope. The original erratum audit matched its 263 baseline files. This publication revision preserves the scientific inputs while deliberately updating manuscript generators and publication check reports; a separate preservation report lists those exceptions. The scientific correction in this revision is about what those records identify, not about whether the jobs ran.</w:t>
      </w:r>
    </w:p>
    <w:p>
      <w:pPr>
        <w:pStyle w:val="Heading3"/>
      </w:pPr>
      <w:r>
        <w:t>3.2 Completion-set identification</w:t>
      </w:r>
    </w:p>
    <w:p>
      <w:r>
        <w:t>Table 4 reports, for Stage D and for map-plus-Stage C, the numbers of stairs whose completion set is a singleton, a finite non-singleton set, or unbounded/absent, under both the conditional and the censoring band constructions.</w:t>
      </w:r>
    </w:p>
    <w:p>
      <w:r>
        <w:rPr>
          <w:b/>
        </w:rPr>
        <w:t>Table 4. Finite-batch completion sets.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Pr>
                <w:sz w:val="16"/>
              </w:rPr>
            </w:r>
            <w:r>
              <w:rPr>
                <w:sz w:val="16"/>
              </w:rPr>
              <w:t>design subset</w:t>
            </w:r>
          </w:p>
        </w:tc>
        <w:tc>
          <w:tcPr>
            <w:tcW w:type="dxa" w:w="1568"/>
          </w:tcPr>
          <w:p>
            <w:pPr>
              <w:spacing w:line="240" w:lineRule="auto"/>
            </w:pPr>
            <w:r>
              <w:rPr>
                <w:sz w:val="16"/>
              </w:rPr>
            </w:r>
            <w:r>
              <w:rPr>
                <w:sz w:val="16"/>
              </w:rPr>
              <w:t>completion mode</w:t>
            </w:r>
          </w:p>
        </w:tc>
        <w:tc>
          <w:tcPr>
            <w:tcW w:type="dxa" w:w="1568"/>
          </w:tcPr>
          <w:p>
            <w:pPr>
              <w:spacing w:line="240" w:lineRule="auto"/>
            </w:pPr>
            <w:r>
              <w:rPr>
                <w:sz w:val="16"/>
              </w:rPr>
            </w:r>
            <w:r>
              <w:rPr>
                <w:sz w:val="16"/>
              </w:rPr>
              <w:t>total</w:t>
            </w:r>
          </w:p>
        </w:tc>
        <w:tc>
          <w:tcPr>
            <w:tcW w:type="dxa" w:w="1568"/>
          </w:tcPr>
          <w:p>
            <w:pPr>
              <w:spacing w:line="240" w:lineRule="auto"/>
            </w:pPr>
            <w:r>
              <w:rPr>
                <w:sz w:val="16"/>
              </w:rPr>
            </w:r>
            <w:r>
              <w:rPr>
                <w:sz w:val="16"/>
              </w:rPr>
              <w:t>singleton</w:t>
            </w:r>
          </w:p>
        </w:tc>
        <w:tc>
          <w:tcPr>
            <w:tcW w:type="dxa" w:w="1568"/>
          </w:tcPr>
          <w:p>
            <w:pPr>
              <w:spacing w:line="240" w:lineRule="auto"/>
            </w:pPr>
            <w:r>
              <w:rPr>
                <w:sz w:val="16"/>
              </w:rPr>
            </w:r>
            <w:r>
              <w:rPr>
                <w:sz w:val="16"/>
              </w:rPr>
              <w:t>finite multiple</w:t>
            </w:r>
          </w:p>
        </w:tc>
        <w:tc>
          <w:tcPr>
            <w:tcW w:type="dxa" w:w="1568"/>
          </w:tcPr>
          <w:p>
            <w:pPr>
              <w:spacing w:line="240" w:lineRule="auto"/>
            </w:pPr>
            <w:r>
              <w:rPr>
                <w:sz w:val="16"/>
              </w:rPr>
            </w:r>
            <w:r>
              <w:rPr>
                <w:sz w:val="16"/>
              </w:rPr>
              <w:t>unbounded / absent</w:t>
            </w:r>
          </w:p>
        </w:tc>
      </w:tr>
      <w:tr>
        <w:tc>
          <w:tcPr>
            <w:tcW w:type="dxa" w:w="1568"/>
          </w:tcPr>
          <w:p>
            <w:pPr>
              <w:spacing w:line="240" w:lineRule="auto"/>
            </w:pPr>
            <w:r>
              <w:rPr>
                <w:sz w:val="16"/>
              </w:rPr>
            </w:r>
            <w:r>
              <w:rPr>
                <w:sz w:val="16"/>
              </w:rPr>
              <w:t>D solved conditions</w:t>
            </w:r>
          </w:p>
        </w:tc>
        <w:tc>
          <w:tcPr>
            <w:tcW w:type="dxa" w:w="1568"/>
          </w:tcPr>
          <w:p>
            <w:pPr>
              <w:spacing w:line="240" w:lineRule="auto"/>
            </w:pPr>
            <w:r>
              <w:rPr>
                <w:sz w:val="16"/>
              </w:rPr>
            </w:r>
            <w:r>
              <w:rPr>
                <w:sz w:val="16"/>
              </w:rPr>
              <w:t>conditional</w:t>
            </w:r>
          </w:p>
        </w:tc>
        <w:tc>
          <w:tcPr>
            <w:tcW w:type="dxa" w:w="1568"/>
          </w:tcPr>
          <w:p>
            <w:pPr>
              <w:spacing w:line="240" w:lineRule="auto"/>
            </w:pPr>
            <w:r>
              <w:rPr>
                <w:sz w:val="16"/>
              </w:rPr>
            </w:r>
            <w:r>
              <w:rPr>
                <w:sz w:val="16"/>
              </w:rPr>
              <w:t>48</w:t>
            </w:r>
          </w:p>
        </w:tc>
        <w:tc>
          <w:tcPr>
            <w:tcW w:type="dxa" w:w="1568"/>
          </w:tcPr>
          <w:p>
            <w:pPr>
              <w:spacing w:line="240" w:lineRule="auto"/>
            </w:pPr>
            <w:r>
              <w:rPr>
                <w:sz w:val="16"/>
              </w:rPr>
            </w:r>
            <w:r>
              <w:rPr>
                <w:sz w:val="16"/>
              </w:rPr>
              <w:t>10</w:t>
            </w:r>
          </w:p>
        </w:tc>
        <w:tc>
          <w:tcPr>
            <w:tcW w:type="dxa" w:w="1568"/>
          </w:tcPr>
          <w:p>
            <w:pPr>
              <w:spacing w:line="240" w:lineRule="auto"/>
            </w:pPr>
            <w:r>
              <w:rPr>
                <w:sz w:val="16"/>
              </w:rPr>
            </w:r>
            <w:r>
              <w:rPr>
                <w:sz w:val="16"/>
              </w:rPr>
              <w:t>26</w:t>
            </w:r>
          </w:p>
        </w:tc>
        <w:tc>
          <w:tcPr>
            <w:tcW w:type="dxa" w:w="1568"/>
          </w:tcPr>
          <w:p>
            <w:pPr>
              <w:spacing w:line="240" w:lineRule="auto"/>
            </w:pPr>
            <w:r>
              <w:rPr>
                <w:sz w:val="16"/>
              </w:rPr>
            </w:r>
            <w:r>
              <w:rPr>
                <w:sz w:val="16"/>
              </w:rPr>
              <w:t>12</w:t>
            </w:r>
          </w:p>
        </w:tc>
      </w:tr>
      <w:tr>
        <w:tc>
          <w:tcPr>
            <w:tcW w:type="dxa" w:w="1568"/>
          </w:tcPr>
          <w:p>
            <w:pPr>
              <w:spacing w:line="240" w:lineRule="auto"/>
            </w:pPr>
            <w:r>
              <w:rPr>
                <w:sz w:val="16"/>
              </w:rPr>
            </w:r>
            <w:r>
              <w:rPr>
                <w:sz w:val="16"/>
              </w:rPr>
              <w:t>D solved conditions</w:t>
            </w:r>
          </w:p>
        </w:tc>
        <w:tc>
          <w:tcPr>
            <w:tcW w:type="dxa" w:w="1568"/>
          </w:tcPr>
          <w:p>
            <w:pPr>
              <w:spacing w:line="240" w:lineRule="auto"/>
            </w:pPr>
            <w:r>
              <w:rPr>
                <w:sz w:val="16"/>
              </w:rPr>
            </w:r>
            <w:r>
              <w:rPr>
                <w:sz w:val="16"/>
              </w:rPr>
              <w:t>censoring</w:t>
            </w:r>
          </w:p>
        </w:tc>
        <w:tc>
          <w:tcPr>
            <w:tcW w:type="dxa" w:w="1568"/>
          </w:tcPr>
          <w:p>
            <w:pPr>
              <w:spacing w:line="240" w:lineRule="auto"/>
            </w:pPr>
            <w:r>
              <w:rPr>
                <w:sz w:val="16"/>
              </w:rPr>
            </w:r>
            <w:r>
              <w:rPr>
                <w:sz w:val="16"/>
              </w:rPr>
              <w:t>48</w:t>
            </w:r>
          </w:p>
        </w:tc>
        <w:tc>
          <w:tcPr>
            <w:tcW w:type="dxa" w:w="1568"/>
          </w:tcPr>
          <w:p>
            <w:pPr>
              <w:spacing w:line="240" w:lineRule="auto"/>
            </w:pPr>
            <w:r>
              <w:rPr>
                <w:sz w:val="16"/>
              </w:rPr>
            </w:r>
            <w:r>
              <w:rPr>
                <w:sz w:val="16"/>
              </w:rPr>
              <w:t>10</w:t>
            </w:r>
          </w:p>
        </w:tc>
        <w:tc>
          <w:tcPr>
            <w:tcW w:type="dxa" w:w="1568"/>
          </w:tcPr>
          <w:p>
            <w:pPr>
              <w:spacing w:line="240" w:lineRule="auto"/>
            </w:pPr>
            <w:r>
              <w:rPr>
                <w:sz w:val="16"/>
              </w:rPr>
            </w:r>
            <w:r>
              <w:rPr>
                <w:sz w:val="16"/>
              </w:rPr>
              <w:t>26</w:t>
            </w:r>
          </w:p>
        </w:tc>
        <w:tc>
          <w:tcPr>
            <w:tcW w:type="dxa" w:w="1568"/>
          </w:tcPr>
          <w:p>
            <w:pPr>
              <w:spacing w:line="240" w:lineRule="auto"/>
            </w:pPr>
            <w:r>
              <w:rPr>
                <w:sz w:val="16"/>
              </w:rPr>
            </w:r>
            <w:r>
              <w:rPr>
                <w:sz w:val="16"/>
              </w:rPr>
              <w:t>12</w:t>
            </w:r>
          </w:p>
        </w:tc>
      </w:tr>
      <w:tr>
        <w:tc>
          <w:tcPr>
            <w:tcW w:type="dxa" w:w="1568"/>
          </w:tcPr>
          <w:p>
            <w:pPr>
              <w:spacing w:line="240" w:lineRule="auto"/>
            </w:pPr>
            <w:r>
              <w:rPr>
                <w:sz w:val="16"/>
              </w:rPr>
            </w:r>
            <w:r>
              <w:rPr>
                <w:sz w:val="16"/>
              </w:rPr>
              <w:t>map+C promoted stairs</w:t>
            </w:r>
          </w:p>
        </w:tc>
        <w:tc>
          <w:tcPr>
            <w:tcW w:type="dxa" w:w="1568"/>
          </w:tcPr>
          <w:p>
            <w:pPr>
              <w:spacing w:line="240" w:lineRule="auto"/>
            </w:pPr>
            <w:r>
              <w:rPr>
                <w:sz w:val="16"/>
              </w:rPr>
            </w:r>
            <w:r>
              <w:rPr>
                <w:sz w:val="16"/>
              </w:rPr>
              <w:t>conditional</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252</w:t>
            </w:r>
          </w:p>
        </w:tc>
        <w:tc>
          <w:tcPr>
            <w:tcW w:type="dxa" w:w="1568"/>
          </w:tcPr>
          <w:p>
            <w:pPr>
              <w:spacing w:line="240" w:lineRule="auto"/>
            </w:pPr>
            <w:r>
              <w:rPr>
                <w:sz w:val="16"/>
              </w:rPr>
            </w:r>
            <w:r>
              <w:rPr>
                <w:sz w:val="16"/>
              </w:rPr>
              <w:t>72</w:t>
            </w:r>
          </w:p>
        </w:tc>
        <w:tc>
          <w:tcPr>
            <w:tcW w:type="dxa" w:w="1568"/>
          </w:tcPr>
          <w:p>
            <w:pPr>
              <w:spacing w:line="240" w:lineRule="auto"/>
            </w:pPr>
            <w:r>
              <w:rPr>
                <w:sz w:val="16"/>
              </w:rPr>
            </w:r>
            <w:r>
              <w:rPr>
                <w:sz w:val="16"/>
              </w:rPr>
              <w:t>216</w:t>
            </w:r>
          </w:p>
        </w:tc>
      </w:tr>
      <w:tr>
        <w:tc>
          <w:tcPr>
            <w:tcW w:type="dxa" w:w="1568"/>
          </w:tcPr>
          <w:p>
            <w:pPr>
              <w:spacing w:line="240" w:lineRule="auto"/>
            </w:pPr>
            <w:r>
              <w:rPr>
                <w:sz w:val="16"/>
              </w:rPr>
            </w:r>
            <w:r>
              <w:rPr>
                <w:sz w:val="16"/>
              </w:rPr>
              <w:t>map+C promoted stairs</w:t>
            </w:r>
          </w:p>
        </w:tc>
        <w:tc>
          <w:tcPr>
            <w:tcW w:type="dxa" w:w="1568"/>
          </w:tcPr>
          <w:p>
            <w:pPr>
              <w:spacing w:line="240" w:lineRule="auto"/>
            </w:pPr>
            <w:r>
              <w:rPr>
                <w:sz w:val="16"/>
              </w:rPr>
            </w:r>
            <w:r>
              <w:rPr>
                <w:sz w:val="16"/>
              </w:rPr>
              <w:t>censoring</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240</w:t>
            </w:r>
          </w:p>
        </w:tc>
        <w:tc>
          <w:tcPr>
            <w:tcW w:type="dxa" w:w="1568"/>
          </w:tcPr>
          <w:p>
            <w:pPr>
              <w:spacing w:line="240" w:lineRule="auto"/>
            </w:pPr>
            <w:r>
              <w:rPr>
                <w:sz w:val="16"/>
              </w:rPr>
            </w:r>
            <w:r>
              <w:rPr>
                <w:sz w:val="16"/>
              </w:rPr>
              <w:t>80</w:t>
            </w:r>
          </w:p>
        </w:tc>
        <w:tc>
          <w:tcPr>
            <w:tcW w:type="dxa" w:w="1568"/>
          </w:tcPr>
          <w:p>
            <w:pPr>
              <w:spacing w:line="240" w:lineRule="auto"/>
            </w:pPr>
            <w:r>
              <w:rPr>
                <w:sz w:val="16"/>
              </w:rPr>
            </w:r>
            <w:r>
              <w:rPr>
                <w:sz w:val="16"/>
              </w:rPr>
              <w:t>220</w:t>
            </w:r>
          </w:p>
        </w:tc>
      </w:tr>
    </w:tbl>
    <w:p/>
    <w:p>
      <w:r>
        <w:t>Finite-batch logical completion sets on h ≥ 0; no monotonicity or population confidence coverage is asserted. Missing rungs and possible nonattainment remain in the sets.</w:t>
      </w:r>
    </w:p>
    <w:p>
      <w:r>
        <w:t>On Stage D the designed set has 64 conditions, of which 16 were unobserved exclusions and 48 were solved. Under the conditional reader the solved conditions split into 10 singletons, 26 finite non-singleton sets, and 12 unbounded or absent tails. Those are possibility-set cardinalities. They are not a count of global minima located with confidence.</w:t>
      </w:r>
    </w:p>
    <w:p>
      <w:r>
        <w:t>On the promoted map-plus-Stage C stairs (540 stairs from a 600-stair screen), the conditional reader yields 252 singletons and the censoring reader yields 240 singletons. Unbounded or absent tails remain common under both constructions. Holes inside finite sets are preserved: a stair can have more than one possible first attaining rung because a missing lower rung, a nonmonotone dip, or a band that straddles τ prevents unique identification. An interval envelope of the candidate rungs would hide those holes and would mis-score within-one-person hits.</w:t>
      </w:r>
    </w:p>
    <w:p>
      <w:r>
        <w:t>The v0.3 local-crossing vocabulary (located, floor-pinned, resolved, above, unresolved) remains a description of short-window behaviour. It is not reused here as a global H* label. First observed attainment, local adjacent crossing, and the logical set of possible first-attaining finite-batch rungs are reported as distinct objects. Where the set is unbounded, nonattainment remains possible and no numerical error is assigned.</w:t>
      </w:r>
    </w:p>
    <w:p>
      <w:pPr>
        <w:pStyle w:val="Heading3"/>
      </w:pPr>
      <w:r>
        <w:t>3.3 Invalid historical labels and uncorrected training targets</w:t>
      </w:r>
    </w:p>
    <w:p>
      <w:r>
        <w:t>Table 5 records the impact of the completion-set reading on labels that v0.3 treated as exact global minima, and on the frozen M1/M2 training set.</w:t>
      </w:r>
    </w:p>
    <w:p>
      <w:r>
        <w:rPr>
          <w:b/>
        </w:rPr>
        <w:t>Table 5. Historical label impact.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Pr>
                <w:sz w:val="16"/>
              </w:rPr>
            </w:r>
            <w:r>
              <w:rPr>
                <w:sz w:val="16"/>
              </w:rPr>
              <w:t>subset</w:t>
            </w:r>
          </w:p>
        </w:tc>
        <w:tc>
          <w:tcPr>
            <w:tcW w:type="dxa" w:w="1568"/>
          </w:tcPr>
          <w:p>
            <w:pPr>
              <w:spacing w:line="240" w:lineRule="auto"/>
            </w:pPr>
            <w:r>
              <w:rPr>
                <w:sz w:val="16"/>
              </w:rPr>
            </w:r>
            <w:r>
              <w:rPr>
                <w:sz w:val="16"/>
              </w:rPr>
              <w:t>rows</w:t>
            </w:r>
          </w:p>
        </w:tc>
        <w:tc>
          <w:tcPr>
            <w:tcW w:type="dxa" w:w="1568"/>
          </w:tcPr>
          <w:p>
            <w:pPr>
              <w:spacing w:line="240" w:lineRule="auto"/>
            </w:pPr>
            <w:r>
              <w:rPr>
                <w:sz w:val="16"/>
              </w:rPr>
            </w:r>
            <w:r>
              <w:rPr>
                <w:sz w:val="16"/>
              </w:rPr>
              <w:t>old exact labels</w:t>
            </w:r>
          </w:p>
        </w:tc>
        <w:tc>
          <w:tcPr>
            <w:tcW w:type="dxa" w:w="1568"/>
          </w:tcPr>
          <w:p>
            <w:pPr>
              <w:spacing w:line="240" w:lineRule="auto"/>
            </w:pPr>
            <w:r>
              <w:rPr>
                <w:sz w:val="16"/>
              </w:rPr>
            </w:r>
            <w:r>
              <w:rPr>
                <w:sz w:val="16"/>
              </w:rPr>
              <w:t>unsupported exact</w:t>
            </w:r>
          </w:p>
        </w:tc>
        <w:tc>
          <w:tcPr>
            <w:tcW w:type="dxa" w:w="1568"/>
          </w:tcPr>
          <w:p>
            <w:pPr>
              <w:spacing w:line="240" w:lineRule="auto"/>
            </w:pPr>
            <w:r>
              <w:rPr>
                <w:sz w:val="16"/>
              </w:rPr>
            </w:r>
            <w:r>
              <w:rPr>
                <w:sz w:val="16"/>
              </w:rPr>
              <w:t>earlier observed attainment</w:t>
            </w:r>
          </w:p>
        </w:tc>
        <w:tc>
          <w:tcPr>
            <w:tcW w:type="dxa" w:w="1568"/>
          </w:tcPr>
          <w:p>
            <w:pPr>
              <w:spacing w:line="240" w:lineRule="auto"/>
            </w:pPr>
            <w:r>
              <w:rPr>
                <w:sz w:val="16"/>
              </w:rPr>
            </w:r>
            <w:r>
              <w:rPr>
                <w:sz w:val="16"/>
              </w:rPr>
              <w:t>unsupported lower bound</w:t>
            </w:r>
          </w:p>
        </w:tc>
      </w:tr>
      <w:tr>
        <w:tc>
          <w:tcPr>
            <w:tcW w:type="dxa" w:w="1568"/>
          </w:tcPr>
          <w:p>
            <w:pPr>
              <w:spacing w:line="240" w:lineRule="auto"/>
            </w:pPr>
            <w:r>
              <w:rPr>
                <w:sz w:val="16"/>
              </w:rPr>
            </w:r>
            <w:r>
              <w:rPr>
                <w:sz w:val="16"/>
              </w:rPr>
              <w:t>D</w:t>
            </w:r>
          </w:p>
        </w:tc>
        <w:tc>
          <w:tcPr>
            <w:tcW w:type="dxa" w:w="1568"/>
          </w:tcPr>
          <w:p>
            <w:pPr>
              <w:spacing w:line="240" w:lineRule="auto"/>
            </w:pPr>
            <w:r>
              <w:rPr>
                <w:sz w:val="16"/>
              </w:rPr>
            </w:r>
            <w:r>
              <w:rPr>
                <w:sz w:val="16"/>
              </w:rPr>
              <w:t>48</w:t>
            </w:r>
          </w:p>
        </w:tc>
        <w:tc>
          <w:tcPr>
            <w:tcW w:type="dxa" w:w="1568"/>
          </w:tcPr>
          <w:p>
            <w:pPr>
              <w:spacing w:line="240" w:lineRule="auto"/>
            </w:pPr>
            <w:r>
              <w:rPr>
                <w:sz w:val="16"/>
              </w:rPr>
            </w:r>
            <w:r>
              <w:rPr>
                <w:sz w:val="16"/>
              </w:rPr>
              <w:t>21</w:t>
            </w:r>
          </w:p>
        </w:tc>
        <w:tc>
          <w:tcPr>
            <w:tcW w:type="dxa" w:w="1568"/>
          </w:tcPr>
          <w:p>
            <w:pPr>
              <w:spacing w:line="240" w:lineRule="auto"/>
            </w:pPr>
            <w:r>
              <w:rPr>
                <w:sz w:val="16"/>
              </w:rPr>
            </w:r>
            <w:r>
              <w:rPr>
                <w:sz w:val="16"/>
              </w:rPr>
              <w:t>12</w:t>
            </w:r>
          </w:p>
        </w:tc>
        <w:tc>
          <w:tcPr>
            <w:tcW w:type="dxa" w:w="1568"/>
          </w:tcPr>
          <w:p>
            <w:pPr>
              <w:spacing w:line="240" w:lineRule="auto"/>
            </w:pPr>
            <w:r>
              <w:rPr>
                <w:sz w:val="16"/>
              </w:rPr>
            </w:r>
            <w:r>
              <w:rPr>
                <w:sz w:val="16"/>
              </w:rPr>
              <w:t>3</w:t>
            </w:r>
          </w:p>
        </w:tc>
        <w:tc>
          <w:tcPr>
            <w:tcW w:type="dxa" w:w="1568"/>
          </w:tcPr>
          <w:p>
            <w:pPr>
              <w:spacing w:line="240" w:lineRule="auto"/>
            </w:pPr>
            <w:r>
              <w:rPr>
                <w:sz w:val="16"/>
              </w:rPr>
            </w:r>
            <w:r>
              <w:rPr>
                <w:sz w:val="16"/>
              </w:rPr>
              <w:t>22</w:t>
            </w:r>
          </w:p>
        </w:tc>
      </w:tr>
      <w:tr>
        <w:tc>
          <w:tcPr>
            <w:tcW w:type="dxa" w:w="1568"/>
          </w:tcPr>
          <w:p>
            <w:pPr>
              <w:spacing w:line="240" w:lineRule="auto"/>
            </w:pPr>
            <w:r>
              <w:rPr>
                <w:sz w:val="16"/>
              </w:rPr>
            </w:r>
            <w:r>
              <w:rPr>
                <w:sz w:val="16"/>
              </w:rPr>
              <w:t>map_C</w:t>
            </w:r>
          </w:p>
        </w:tc>
        <w:tc>
          <w:tcPr>
            <w:tcW w:type="dxa" w:w="1568"/>
          </w:tcPr>
          <w:p>
            <w:pPr>
              <w:spacing w:line="240" w:lineRule="auto"/>
            </w:pPr>
            <w:r>
              <w:rPr>
                <w:sz w:val="16"/>
              </w:rPr>
            </w:r>
            <w:r>
              <w:rPr>
                <w:sz w:val="16"/>
              </w:rPr>
              <w:t>540</w:t>
            </w:r>
          </w:p>
        </w:tc>
        <w:tc>
          <w:tcPr>
            <w:tcW w:type="dxa" w:w="1568"/>
          </w:tcPr>
          <w:p>
            <w:pPr>
              <w:spacing w:line="240" w:lineRule="auto"/>
            </w:pPr>
            <w:r>
              <w:rPr>
                <w:sz w:val="16"/>
              </w:rPr>
            </w:r>
            <w:r>
              <w:rPr>
                <w:sz w:val="16"/>
              </w:rPr>
              <w:t>276</w:t>
            </w:r>
          </w:p>
        </w:tc>
        <w:tc>
          <w:tcPr>
            <w:tcW w:type="dxa" w:w="1568"/>
          </w:tcPr>
          <w:p>
            <w:pPr>
              <w:spacing w:line="240" w:lineRule="auto"/>
            </w:pPr>
            <w:r>
              <w:rPr>
                <w:sz w:val="16"/>
              </w:rPr>
            </w:r>
            <w:r>
              <w:rPr>
                <w:sz w:val="16"/>
              </w:rPr>
              <w:t>61</w:t>
            </w:r>
          </w:p>
        </w:tc>
        <w:tc>
          <w:tcPr>
            <w:tcW w:type="dxa" w:w="1568"/>
          </w:tcPr>
          <w:p>
            <w:pPr>
              <w:spacing w:line="240" w:lineRule="auto"/>
            </w:pPr>
            <w:r>
              <w:rPr>
                <w:sz w:val="16"/>
              </w:rPr>
            </w:r>
            <w:r>
              <w:rPr>
                <w:sz w:val="16"/>
              </w:rPr>
              <w:t>7</w:t>
            </w:r>
          </w:p>
        </w:tc>
        <w:tc>
          <w:tcPr>
            <w:tcW w:type="dxa" w:w="1568"/>
          </w:tcPr>
          <w:p>
            <w:pPr>
              <w:spacing w:line="240" w:lineRule="auto"/>
            </w:pPr>
            <w:r>
              <w:rPr>
                <w:sz w:val="16"/>
              </w:rPr>
            </w:r>
            <w:r>
              <w:rPr>
                <w:sz w:val="16"/>
              </w:rPr>
              <w:t>188</w:t>
            </w:r>
          </w:p>
        </w:tc>
      </w:tr>
      <w:tr>
        <w:tc>
          <w:tcPr>
            <w:tcW w:type="dxa" w:w="1568"/>
          </w:tcPr>
          <w:p>
            <w:pPr>
              <w:spacing w:line="240" w:lineRule="auto"/>
            </w:pPr>
            <w:r>
              <w:rPr>
                <w:sz w:val="16"/>
              </w:rPr>
            </w:r>
            <w:r>
              <w:rPr>
                <w:sz w:val="16"/>
              </w:rPr>
              <w:t>training_decouple</w:t>
            </w:r>
          </w:p>
        </w:tc>
        <w:tc>
          <w:tcPr>
            <w:tcW w:type="dxa" w:w="1568"/>
          </w:tcPr>
          <w:p>
            <w:pPr>
              <w:spacing w:line="240" w:lineRule="auto"/>
            </w:pPr>
            <w:r>
              <w:rPr>
                <w:sz w:val="16"/>
              </w:rPr>
            </w:r>
            <w:r>
              <w:rPr>
                <w:sz w:val="16"/>
              </w:rPr>
              <w:t>144</w:t>
            </w:r>
          </w:p>
        </w:tc>
        <w:tc>
          <w:tcPr>
            <w:tcW w:type="dxa" w:w="1568"/>
          </w:tcPr>
          <w:p>
            <w:pPr>
              <w:spacing w:line="240" w:lineRule="auto"/>
            </w:pPr>
            <w:r>
              <w:rPr>
                <w:sz w:val="16"/>
              </w:rPr>
            </w:r>
            <w:r>
              <w:rPr>
                <w:sz w:val="16"/>
              </w:rPr>
              <w:t>144</w:t>
            </w:r>
          </w:p>
        </w:tc>
        <w:tc>
          <w:tcPr>
            <w:tcW w:type="dxa" w:w="1568"/>
          </w:tcPr>
          <w:p>
            <w:pPr>
              <w:spacing w:line="240" w:lineRule="auto"/>
            </w:pPr>
            <w:r>
              <w:rPr>
                <w:sz w:val="16"/>
              </w:rPr>
            </w:r>
            <w:r>
              <w:rPr>
                <w:sz w:val="16"/>
              </w:rPr>
              <w:t>33</w:t>
            </w:r>
          </w:p>
        </w:tc>
        <w:tc>
          <w:tcPr>
            <w:tcW w:type="dxa" w:w="1568"/>
          </w:tcPr>
          <w:p>
            <w:pPr>
              <w:spacing w:line="240" w:lineRule="auto"/>
            </w:pPr>
            <w:r>
              <w:rPr>
                <w:sz w:val="16"/>
              </w:rPr>
            </w:r>
            <w:r>
              <w:rPr>
                <w:sz w:val="16"/>
              </w:rPr>
              <w:t>4</w:t>
            </w:r>
          </w:p>
        </w:tc>
        <w:tc>
          <w:tcPr>
            <w:tcW w:type="dxa" w:w="1568"/>
          </w:tcPr>
          <w:p>
            <w:pPr>
              <w:spacing w:line="240" w:lineRule="auto"/>
            </w:pPr>
            <w:r>
              <w:rPr>
                <w:sz w:val="16"/>
              </w:rPr>
            </w:r>
            <w:r>
              <w:rPr>
                <w:sz w:val="16"/>
              </w:rPr>
              <w:t>33</w:t>
            </w:r>
          </w:p>
        </w:tc>
      </w:tr>
    </w:tbl>
    <w:p/>
    <w:p>
      <w:r>
        <w:t>The training row is the primary decouple-arm M1/M2 label set. These are defects in interpreting local labels as global minima even with empirical conditional rates held fixed. Re-scoring does not repair model training.</w:t>
      </w:r>
    </w:p>
    <w:p>
      <w:r>
        <w:t>Observed counterexamples to treating a later local crossing as the first global attainment: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sz w:val="16"/>
              </w:rPr>
            </w:r>
            <w:r>
              <w:rPr>
                <w:sz w:val="16"/>
              </w:rPr>
              <w:t>D condition</w:t>
            </w:r>
          </w:p>
        </w:tc>
        <w:tc>
          <w:tcPr>
            <w:tcW w:type="dxa" w:w="2351"/>
          </w:tcPr>
          <w:p>
            <w:pPr>
              <w:spacing w:line="240" w:lineRule="auto"/>
            </w:pPr>
            <w:r>
              <w:rPr>
                <w:sz w:val="16"/>
              </w:rPr>
            </w:r>
            <w:r>
              <w:rPr>
                <w:sz w:val="16"/>
              </w:rPr>
              <w:t>old reported h</w:t>
            </w:r>
          </w:p>
        </w:tc>
        <w:tc>
          <w:tcPr>
            <w:tcW w:type="dxa" w:w="2351"/>
          </w:tcPr>
          <w:p>
            <w:pPr>
              <w:spacing w:line="240" w:lineRule="auto"/>
            </w:pPr>
            <w:r>
              <w:rPr>
                <w:sz w:val="16"/>
              </w:rPr>
            </w:r>
            <w:r>
              <w:rPr>
                <w:sz w:val="16"/>
              </w:rPr>
              <w:t>earlier observed attaining h</w:t>
            </w:r>
          </w:p>
        </w:tc>
        <w:tc>
          <w:tcPr>
            <w:tcW w:type="dxa" w:w="2351"/>
          </w:tcPr>
          <w:p>
            <w:pPr>
              <w:spacing w:line="240" w:lineRule="auto"/>
            </w:pPr>
            <w:r>
              <w:rPr>
                <w:sz w:val="16"/>
              </w:rPr>
            </w:r>
            <w:r>
              <w:rPr>
                <w:sz w:val="16"/>
              </w:rPr>
              <w:t>earlier F/(F+I)</w:t>
            </w:r>
          </w:p>
        </w:tc>
      </w:tr>
      <w:tr>
        <w:tc>
          <w:tcPr>
            <w:tcW w:type="dxa" w:w="2351"/>
          </w:tcPr>
          <w:p>
            <w:pPr>
              <w:spacing w:line="240" w:lineRule="auto"/>
            </w:pPr>
            <w:r>
              <w:rPr>
                <w:sz w:val="16"/>
              </w:rPr>
            </w:r>
            <w:r>
              <w:rPr>
                <w:sz w:val="16"/>
              </w:rPr>
              <w:t>x318</w:t>
            </w:r>
          </w:p>
        </w:tc>
        <w:tc>
          <w:tcPr>
            <w:tcW w:type="dxa" w:w="2351"/>
          </w:tcPr>
          <w:p>
            <w:pPr>
              <w:spacing w:line="240" w:lineRule="auto"/>
            </w:pPr>
            <w:r>
              <w:rPr>
                <w:sz w:val="16"/>
              </w:rPr>
            </w:r>
            <w:r>
              <w:rPr>
                <w:sz w:val="16"/>
              </w:rPr>
              <w:t>3</w:t>
            </w:r>
          </w:p>
        </w:tc>
        <w:tc>
          <w:tcPr>
            <w:tcW w:type="dxa" w:w="2351"/>
          </w:tcPr>
          <w:p>
            <w:pPr>
              <w:spacing w:line="240" w:lineRule="auto"/>
            </w:pPr>
            <w:r>
              <w:rPr>
                <w:sz w:val="16"/>
              </w:rPr>
            </w:r>
            <w:r>
              <w:rPr>
                <w:sz w:val="16"/>
              </w:rPr>
              <w:t>1</w:t>
            </w:r>
          </w:p>
        </w:tc>
        <w:tc>
          <w:tcPr>
            <w:tcW w:type="dxa" w:w="2351"/>
          </w:tcPr>
          <w:p>
            <w:pPr>
              <w:spacing w:line="240" w:lineRule="auto"/>
            </w:pPr>
            <w:r>
              <w:rPr>
                <w:sz w:val="16"/>
              </w:rPr>
            </w:r>
            <w:r>
              <w:rPr>
                <w:sz w:val="16"/>
              </w:rPr>
              <w:t>292/300</w:t>
            </w:r>
          </w:p>
        </w:tc>
      </w:tr>
      <w:tr>
        <w:tc>
          <w:tcPr>
            <w:tcW w:type="dxa" w:w="2351"/>
          </w:tcPr>
          <w:p>
            <w:pPr>
              <w:spacing w:line="240" w:lineRule="auto"/>
            </w:pPr>
            <w:r>
              <w:rPr>
                <w:sz w:val="16"/>
              </w:rPr>
            </w:r>
            <w:r>
              <w:rPr>
                <w:sz w:val="16"/>
              </w:rPr>
              <w:t>x333</w:t>
            </w:r>
          </w:p>
        </w:tc>
        <w:tc>
          <w:tcPr>
            <w:tcW w:type="dxa" w:w="2351"/>
          </w:tcPr>
          <w:p>
            <w:pPr>
              <w:spacing w:line="240" w:lineRule="auto"/>
            </w:pPr>
            <w:r>
              <w:rPr>
                <w:sz w:val="16"/>
              </w:rPr>
            </w:r>
            <w:r>
              <w:rPr>
                <w:sz w:val="16"/>
              </w:rPr>
              <w:t>4</w:t>
            </w:r>
          </w:p>
        </w:tc>
        <w:tc>
          <w:tcPr>
            <w:tcW w:type="dxa" w:w="2351"/>
          </w:tcPr>
          <w:p>
            <w:pPr>
              <w:spacing w:line="240" w:lineRule="auto"/>
            </w:pPr>
            <w:r>
              <w:rPr>
                <w:sz w:val="16"/>
              </w:rPr>
            </w:r>
            <w:r>
              <w:rPr>
                <w:sz w:val="16"/>
              </w:rPr>
              <w:t>2</w:t>
            </w:r>
          </w:p>
        </w:tc>
        <w:tc>
          <w:tcPr>
            <w:tcW w:type="dxa" w:w="2351"/>
          </w:tcPr>
          <w:p>
            <w:pPr>
              <w:spacing w:line="240" w:lineRule="auto"/>
            </w:pPr>
            <w:r>
              <w:rPr>
                <w:sz w:val="16"/>
              </w:rPr>
            </w:r>
            <w:r>
              <w:rPr>
                <w:sz w:val="16"/>
              </w:rPr>
              <w:t>285/300</w:t>
            </w:r>
          </w:p>
        </w:tc>
      </w:tr>
      <w:tr>
        <w:tc>
          <w:tcPr>
            <w:tcW w:type="dxa" w:w="2351"/>
          </w:tcPr>
          <w:p>
            <w:pPr>
              <w:spacing w:line="240" w:lineRule="auto"/>
            </w:pPr>
            <w:r>
              <w:rPr>
                <w:sz w:val="16"/>
              </w:rPr>
            </w:r>
            <w:r>
              <w:rPr>
                <w:sz w:val="16"/>
              </w:rPr>
              <w:t>x335</w:t>
            </w:r>
          </w:p>
        </w:tc>
        <w:tc>
          <w:tcPr>
            <w:tcW w:type="dxa" w:w="2351"/>
          </w:tcPr>
          <w:p>
            <w:pPr>
              <w:spacing w:line="240" w:lineRule="auto"/>
            </w:pPr>
            <w:r>
              <w:rPr>
                <w:sz w:val="16"/>
              </w:rPr>
            </w:r>
            <w:r>
              <w:rPr>
                <w:sz w:val="16"/>
              </w:rPr>
              <w:t>6</w:t>
            </w:r>
          </w:p>
        </w:tc>
        <w:tc>
          <w:tcPr>
            <w:tcW w:type="dxa" w:w="2351"/>
          </w:tcPr>
          <w:p>
            <w:pPr>
              <w:spacing w:line="240" w:lineRule="auto"/>
            </w:pPr>
            <w:r>
              <w:rPr>
                <w:sz w:val="16"/>
              </w:rPr>
            </w:r>
            <w:r>
              <w:rPr>
                <w:sz w:val="16"/>
              </w:rPr>
              <w:t>4</w:t>
            </w:r>
          </w:p>
        </w:tc>
        <w:tc>
          <w:tcPr>
            <w:tcW w:type="dxa" w:w="2351"/>
          </w:tcPr>
          <w:p>
            <w:pPr>
              <w:spacing w:line="240" w:lineRule="auto"/>
            </w:pPr>
            <w:r>
              <w:rPr>
                <w:sz w:val="16"/>
              </w:rPr>
            </w:r>
            <w:r>
              <w:rPr>
                <w:sz w:val="16"/>
              </w:rPr>
              <w:t>289/300</w:t>
            </w:r>
          </w:p>
        </w:tc>
      </w:tr>
    </w:tbl>
    <w:p/>
    <w:p>
      <w:r>
        <w:t>A substantial share of the old Stage D point labels and of the old map-plus-Stage C labels lack support as exact global minima even if the empirical conditional rates are treated as fixed. The frozen primary M1/M2 training set has 33 affected labels among 144 decouple-arm labels. Sample selection is explicit: formulas were fitted on stairs the local reader had already converted into a number, a selected and floor-heavy subset of the design. Those invalid training labels remain in the frozen artefacts. Re-scoring alone does not repair training-target validity, and this revision does not refit.</w:t>
      </w:r>
    </w:p>
    <w:p>
      <w:pPr>
        <w:pStyle w:val="Heading3"/>
      </w:pPr>
      <w:r>
        <w:t>3.4 Descriptive re-score of frozen predictors</w:t>
      </w:r>
    </w:p>
    <w:p>
      <w:r>
        <w:t>Table 6 reports singleton MAE and within-one-person hits on the selected Stage D singletons. Table 7 reports all/some/none set hits of each frozen predictor against each condition's candidate set, without assigning a numerical error to possible nonattainment. Alternative-model rows (including the two GAM specifications and the empirical-logit GP) have different prediction availability; excluded points and unavailable predictions are not silently imputed as successes or failures.</w:t>
      </w:r>
    </w:p>
    <w:p>
      <w:r>
        <w:rPr>
          <w:b/>
        </w:rPr>
        <w:t>Table 6. Frozen predictions on selected D singletons.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Pr>
                <w:sz w:val="16"/>
              </w:rPr>
            </w:r>
            <w:r>
              <w:rPr>
                <w:sz w:val="16"/>
              </w:rPr>
              <w:t>predictor</w:t>
            </w:r>
          </w:p>
        </w:tc>
        <w:tc>
          <w:tcPr>
            <w:tcW w:type="dxa" w:w="1881"/>
          </w:tcPr>
          <w:p>
            <w:pPr>
              <w:spacing w:line="240" w:lineRule="auto"/>
            </w:pPr>
            <w:r>
              <w:rPr>
                <w:sz w:val="16"/>
              </w:rPr>
            </w:r>
            <w:r>
              <w:rPr>
                <w:sz w:val="16"/>
              </w:rPr>
              <w:t>available D / 48</w:t>
            </w:r>
          </w:p>
        </w:tc>
        <w:tc>
          <w:tcPr>
            <w:tcW w:type="dxa" w:w="1881"/>
          </w:tcPr>
          <w:p>
            <w:pPr>
              <w:spacing w:line="240" w:lineRule="auto"/>
            </w:pPr>
            <w:r>
              <w:rPr>
                <w:sz w:val="16"/>
              </w:rPr>
            </w:r>
            <w:r>
              <w:rPr>
                <w:sz w:val="16"/>
              </w:rPr>
              <w:t>singleton n</w:t>
            </w:r>
          </w:p>
        </w:tc>
        <w:tc>
          <w:tcPr>
            <w:tcW w:type="dxa" w:w="1881"/>
          </w:tcPr>
          <w:p>
            <w:pPr>
              <w:spacing w:line="240" w:lineRule="auto"/>
            </w:pPr>
            <w:r>
              <w:rPr>
                <w:sz w:val="16"/>
              </w:rPr>
            </w:r>
            <w:r>
              <w:rPr>
                <w:sz w:val="16"/>
              </w:rPr>
              <w:t>within ±1</w:t>
            </w:r>
          </w:p>
        </w:tc>
        <w:tc>
          <w:tcPr>
            <w:tcW w:type="dxa" w:w="1881"/>
          </w:tcPr>
          <w:p>
            <w:pPr>
              <w:spacing w:line="240" w:lineRule="auto"/>
            </w:pPr>
            <w:r>
              <w:rPr>
                <w:sz w:val="16"/>
              </w:rPr>
            </w:r>
            <w:r>
              <w:rPr>
                <w:sz w:val="16"/>
              </w:rPr>
              <w:t>MAE (people)</w:t>
            </w:r>
          </w:p>
        </w:tc>
      </w:tr>
      <w:tr>
        <w:tc>
          <w:tcPr>
            <w:tcW w:type="dxa" w:w="1881"/>
          </w:tcPr>
          <w:p>
            <w:pPr>
              <w:spacing w:line="240" w:lineRule="auto"/>
            </w:pPr>
            <w:r>
              <w:rPr>
                <w:sz w:val="16"/>
              </w:rPr>
            </w:r>
            <w:r>
              <w:rPr>
                <w:sz w:val="16"/>
              </w:rPr>
              <w:t>M0</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2</w:t>
            </w:r>
          </w:p>
        </w:tc>
        <w:tc>
          <w:tcPr>
            <w:tcW w:type="dxa" w:w="1881"/>
          </w:tcPr>
          <w:p>
            <w:pPr>
              <w:spacing w:line="240" w:lineRule="auto"/>
            </w:pPr>
            <w:r>
              <w:rPr>
                <w:sz w:val="16"/>
              </w:rPr>
            </w:r>
            <w:r>
              <w:rPr>
                <w:sz w:val="16"/>
              </w:rPr>
              <w:t>2.90</w:t>
            </w:r>
          </w:p>
        </w:tc>
      </w:tr>
      <w:tr>
        <w:tc>
          <w:tcPr>
            <w:tcW w:type="dxa" w:w="1881"/>
          </w:tcPr>
          <w:p>
            <w:pPr>
              <w:spacing w:line="240" w:lineRule="auto"/>
            </w:pPr>
            <w:r>
              <w:rPr>
                <w:sz w:val="16"/>
              </w:rPr>
            </w:r>
            <w:r>
              <w:rPr>
                <w:sz w:val="16"/>
              </w:rPr>
              <w:t>M1</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9</w:t>
            </w:r>
          </w:p>
        </w:tc>
        <w:tc>
          <w:tcPr>
            <w:tcW w:type="dxa" w:w="1881"/>
          </w:tcPr>
          <w:p>
            <w:pPr>
              <w:spacing w:line="240" w:lineRule="auto"/>
            </w:pPr>
            <w:r>
              <w:rPr>
                <w:sz w:val="16"/>
              </w:rPr>
            </w:r>
            <w:r>
              <w:rPr>
                <w:sz w:val="16"/>
              </w:rPr>
              <w:t>0.70</w:t>
            </w:r>
          </w:p>
        </w:tc>
      </w:tr>
      <w:tr>
        <w:tc>
          <w:tcPr>
            <w:tcW w:type="dxa" w:w="1881"/>
          </w:tcPr>
          <w:p>
            <w:pPr>
              <w:spacing w:line="240" w:lineRule="auto"/>
            </w:pPr>
            <w:r>
              <w:rPr>
                <w:sz w:val="16"/>
              </w:rPr>
            </w:r>
            <w:r>
              <w:rPr>
                <w:sz w:val="16"/>
              </w:rPr>
              <w:t>M2</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9</w:t>
            </w:r>
          </w:p>
        </w:tc>
        <w:tc>
          <w:tcPr>
            <w:tcW w:type="dxa" w:w="1881"/>
          </w:tcPr>
          <w:p>
            <w:pPr>
              <w:spacing w:line="240" w:lineRule="auto"/>
            </w:pPr>
            <w:r>
              <w:rPr>
                <w:sz w:val="16"/>
              </w:rPr>
            </w:r>
            <w:r>
              <w:rPr>
                <w:sz w:val="16"/>
              </w:rPr>
              <w:t>0.50</w:t>
            </w:r>
          </w:p>
        </w:tc>
      </w:tr>
      <w:tr>
        <w:tc>
          <w:tcPr>
            <w:tcW w:type="dxa" w:w="1881"/>
          </w:tcPr>
          <w:p>
            <w:pPr>
              <w:spacing w:line="240" w:lineRule="auto"/>
            </w:pPr>
            <w:r>
              <w:rPr>
                <w:sz w:val="16"/>
              </w:rPr>
            </w:r>
            <w:r>
              <w:rPr>
                <w:sz w:val="16"/>
              </w:rPr>
              <w:t>M3</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0.40</w:t>
            </w:r>
          </w:p>
        </w:tc>
      </w:tr>
      <w:tr>
        <w:tc>
          <w:tcPr>
            <w:tcW w:type="dxa" w:w="1881"/>
          </w:tcPr>
          <w:p>
            <w:pPr>
              <w:spacing w:line="240" w:lineRule="auto"/>
            </w:pPr>
            <w:r>
              <w:rPr>
                <w:sz w:val="16"/>
              </w:rPr>
            </w:r>
            <w:r>
              <w:rPr>
                <w:sz w:val="16"/>
              </w:rPr>
              <w:t>N0_posthoc</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9</w:t>
            </w:r>
          </w:p>
        </w:tc>
        <w:tc>
          <w:tcPr>
            <w:tcW w:type="dxa" w:w="1881"/>
          </w:tcPr>
          <w:p>
            <w:pPr>
              <w:spacing w:line="240" w:lineRule="auto"/>
            </w:pPr>
            <w:r>
              <w:rPr>
                <w:sz w:val="16"/>
              </w:rPr>
            </w:r>
            <w:r>
              <w:rPr>
                <w:sz w:val="16"/>
              </w:rPr>
              <w:t>0.30</w:t>
            </w:r>
          </w:p>
        </w:tc>
      </w:tr>
      <w:tr>
        <w:tc>
          <w:tcPr>
            <w:tcW w:type="dxa" w:w="1881"/>
          </w:tcPr>
          <w:p>
            <w:pPr>
              <w:spacing w:line="240" w:lineRule="auto"/>
            </w:pPr>
            <w:r>
              <w:rPr>
                <w:sz w:val="16"/>
              </w:rPr>
            </w:r>
            <w:r>
              <w:rPr>
                <w:sz w:val="16"/>
              </w:rPr>
              <w:t>K:gam_h_x_lambda_L</w:t>
            </w:r>
          </w:p>
        </w:tc>
        <w:tc>
          <w:tcPr>
            <w:tcW w:type="dxa" w:w="1881"/>
          </w:tcPr>
          <w:p>
            <w:pPr>
              <w:spacing w:line="240" w:lineRule="auto"/>
            </w:pPr>
            <w:r>
              <w:rPr>
                <w:sz w:val="16"/>
              </w:rPr>
            </w:r>
            <w:r>
              <w:rPr>
                <w:sz w:val="16"/>
              </w:rPr>
              <w:t>47</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0.40</w:t>
            </w:r>
          </w:p>
        </w:tc>
      </w:tr>
      <w:tr>
        <w:tc>
          <w:tcPr>
            <w:tcW w:type="dxa" w:w="1881"/>
          </w:tcPr>
          <w:p>
            <w:pPr>
              <w:spacing w:line="240" w:lineRule="auto"/>
            </w:pPr>
            <w:r>
              <w:rPr>
                <w:sz w:val="16"/>
              </w:rPr>
            </w:r>
            <w:r>
              <w:rPr>
                <w:sz w:val="16"/>
              </w:rPr>
              <w:t>K:gp_logit</w:t>
            </w:r>
          </w:p>
        </w:tc>
        <w:tc>
          <w:tcPr>
            <w:tcW w:type="dxa" w:w="1881"/>
          </w:tcPr>
          <w:p>
            <w:pPr>
              <w:spacing w:line="240" w:lineRule="auto"/>
            </w:pPr>
            <w:r>
              <w:rPr>
                <w:sz w:val="16"/>
              </w:rPr>
            </w:r>
            <w:r>
              <w:rPr>
                <w:sz w:val="16"/>
              </w:rPr>
              <w:t>37</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0.10</w:t>
            </w:r>
          </w:p>
        </w:tc>
      </w:tr>
    </w:tbl>
    <w:p/>
    <w:p>
      <w:r>
        <w:t>N0_posthoc is the arithmetic-floor comparator introduced during this correction. M3 duplicates K:gam_additive. The selected singleton subset is floor-heavy; unavailable predictions and excluded design points are not scored. These results establish no whole-design or population performance ranking.</w:t>
      </w:r>
    </w:p>
    <w:p>
      <w:r>
        <w:rPr>
          <w:b/>
        </w:rPr>
        <w:t>Table 7. Censoring-set compatibility of frozen D predictions.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pPr>
            <w:r>
              <w:rPr>
                <w:sz w:val="16"/>
              </w:rPr>
            </w:r>
            <w:r>
              <w:rPr>
                <w:sz w:val="16"/>
              </w:rPr>
              <w:t>predictor</w:t>
            </w:r>
          </w:p>
        </w:tc>
        <w:tc>
          <w:tcPr>
            <w:tcW w:type="dxa" w:w="1881"/>
          </w:tcPr>
          <w:p>
            <w:pPr>
              <w:spacing w:line="240" w:lineRule="auto"/>
            </w:pPr>
            <w:r>
              <w:rPr>
                <w:sz w:val="16"/>
              </w:rPr>
            </w:r>
            <w:r>
              <w:rPr>
                <w:sz w:val="16"/>
              </w:rPr>
              <w:t>available</w:t>
            </w:r>
          </w:p>
        </w:tc>
        <w:tc>
          <w:tcPr>
            <w:tcW w:type="dxa" w:w="1881"/>
          </w:tcPr>
          <w:p>
            <w:pPr>
              <w:spacing w:line="240" w:lineRule="auto"/>
            </w:pPr>
            <w:r>
              <w:rPr>
                <w:sz w:val="16"/>
              </w:rPr>
            </w:r>
            <w:r>
              <w:rPr>
                <w:sz w:val="16"/>
              </w:rPr>
              <w:t>all completions</w:t>
            </w:r>
          </w:p>
        </w:tc>
        <w:tc>
          <w:tcPr>
            <w:tcW w:type="dxa" w:w="1881"/>
          </w:tcPr>
          <w:p>
            <w:pPr>
              <w:spacing w:line="240" w:lineRule="auto"/>
            </w:pPr>
            <w:r>
              <w:rPr>
                <w:sz w:val="16"/>
              </w:rPr>
            </w:r>
            <w:r>
              <w:rPr>
                <w:sz w:val="16"/>
              </w:rPr>
              <w:t>some completions</w:t>
            </w:r>
          </w:p>
        </w:tc>
        <w:tc>
          <w:tcPr>
            <w:tcW w:type="dxa" w:w="1881"/>
          </w:tcPr>
          <w:p>
            <w:pPr>
              <w:spacing w:line="240" w:lineRule="auto"/>
            </w:pPr>
            <w:r>
              <w:rPr>
                <w:sz w:val="16"/>
              </w:rPr>
            </w:r>
            <w:r>
              <w:rPr>
                <w:sz w:val="16"/>
              </w:rPr>
              <w:t>no completions</w:t>
            </w:r>
          </w:p>
        </w:tc>
      </w:tr>
      <w:tr>
        <w:tc>
          <w:tcPr>
            <w:tcW w:type="dxa" w:w="1881"/>
          </w:tcPr>
          <w:p>
            <w:pPr>
              <w:spacing w:line="240" w:lineRule="auto"/>
            </w:pPr>
            <w:r>
              <w:rPr>
                <w:sz w:val="16"/>
              </w:rPr>
            </w:r>
            <w:r>
              <w:rPr>
                <w:sz w:val="16"/>
              </w:rPr>
              <w:t>M0</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4</w:t>
            </w:r>
          </w:p>
        </w:tc>
        <w:tc>
          <w:tcPr>
            <w:tcW w:type="dxa" w:w="1881"/>
          </w:tcPr>
          <w:p>
            <w:pPr>
              <w:spacing w:line="240" w:lineRule="auto"/>
            </w:pPr>
            <w:r>
              <w:rPr>
                <w:sz w:val="16"/>
              </w:rPr>
            </w:r>
            <w:r>
              <w:rPr>
                <w:sz w:val="16"/>
              </w:rPr>
              <w:t>19</w:t>
            </w:r>
          </w:p>
        </w:tc>
        <w:tc>
          <w:tcPr>
            <w:tcW w:type="dxa" w:w="1881"/>
          </w:tcPr>
          <w:p>
            <w:pPr>
              <w:spacing w:line="240" w:lineRule="auto"/>
            </w:pPr>
            <w:r>
              <w:rPr>
                <w:sz w:val="16"/>
              </w:rPr>
            </w:r>
            <w:r>
              <w:rPr>
                <w:sz w:val="16"/>
              </w:rPr>
              <w:t>25</w:t>
            </w:r>
          </w:p>
        </w:tc>
      </w:tr>
      <w:tr>
        <w:tc>
          <w:tcPr>
            <w:tcW w:type="dxa" w:w="1881"/>
          </w:tcPr>
          <w:p>
            <w:pPr>
              <w:spacing w:line="240" w:lineRule="auto"/>
            </w:pPr>
            <w:r>
              <w:rPr>
                <w:sz w:val="16"/>
              </w:rPr>
            </w:r>
            <w:r>
              <w:rPr>
                <w:sz w:val="16"/>
              </w:rPr>
              <w:t>M1</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34</w:t>
            </w:r>
          </w:p>
        </w:tc>
        <w:tc>
          <w:tcPr>
            <w:tcW w:type="dxa" w:w="1881"/>
          </w:tcPr>
          <w:p>
            <w:pPr>
              <w:spacing w:line="240" w:lineRule="auto"/>
            </w:pPr>
            <w:r>
              <w:rPr>
                <w:sz w:val="16"/>
              </w:rPr>
            </w:r>
            <w:r>
              <w:rPr>
                <w:sz w:val="16"/>
              </w:rPr>
              <w:t>4</w:t>
            </w:r>
          </w:p>
        </w:tc>
      </w:tr>
      <w:tr>
        <w:tc>
          <w:tcPr>
            <w:tcW w:type="dxa" w:w="1881"/>
          </w:tcPr>
          <w:p>
            <w:pPr>
              <w:spacing w:line="240" w:lineRule="auto"/>
            </w:pPr>
            <w:r>
              <w:rPr>
                <w:sz w:val="16"/>
              </w:rPr>
            </w:r>
            <w:r>
              <w:rPr>
                <w:sz w:val="16"/>
              </w:rPr>
              <w:t>M2</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11</w:t>
            </w:r>
          </w:p>
        </w:tc>
        <w:tc>
          <w:tcPr>
            <w:tcW w:type="dxa" w:w="1881"/>
          </w:tcPr>
          <w:p>
            <w:pPr>
              <w:spacing w:line="240" w:lineRule="auto"/>
            </w:pPr>
            <w:r>
              <w:rPr>
                <w:sz w:val="16"/>
              </w:rPr>
            </w:r>
            <w:r>
              <w:rPr>
                <w:sz w:val="16"/>
              </w:rPr>
              <w:t>33</w:t>
            </w:r>
          </w:p>
        </w:tc>
        <w:tc>
          <w:tcPr>
            <w:tcW w:type="dxa" w:w="1881"/>
          </w:tcPr>
          <w:p>
            <w:pPr>
              <w:spacing w:line="240" w:lineRule="auto"/>
            </w:pPr>
            <w:r>
              <w:rPr>
                <w:sz w:val="16"/>
              </w:rPr>
            </w:r>
            <w:r>
              <w:rPr>
                <w:sz w:val="16"/>
              </w:rPr>
              <w:t>4</w:t>
            </w:r>
          </w:p>
        </w:tc>
      </w:tr>
      <w:tr>
        <w:tc>
          <w:tcPr>
            <w:tcW w:type="dxa" w:w="1881"/>
          </w:tcPr>
          <w:p>
            <w:pPr>
              <w:spacing w:line="240" w:lineRule="auto"/>
            </w:pPr>
            <w:r>
              <w:rPr>
                <w:sz w:val="16"/>
              </w:rPr>
            </w:r>
            <w:r>
              <w:rPr>
                <w:sz w:val="16"/>
              </w:rPr>
              <w:t>M3</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27</w:t>
            </w:r>
          </w:p>
        </w:tc>
        <w:tc>
          <w:tcPr>
            <w:tcW w:type="dxa" w:w="1881"/>
          </w:tcPr>
          <w:p>
            <w:pPr>
              <w:spacing w:line="240" w:lineRule="auto"/>
            </w:pPr>
            <w:r>
              <w:rPr>
                <w:sz w:val="16"/>
              </w:rPr>
            </w:r>
            <w:r>
              <w:rPr>
                <w:sz w:val="16"/>
              </w:rPr>
              <w:t>11</w:t>
            </w:r>
          </w:p>
        </w:tc>
      </w:tr>
      <w:tr>
        <w:tc>
          <w:tcPr>
            <w:tcW w:type="dxa" w:w="1881"/>
          </w:tcPr>
          <w:p>
            <w:pPr>
              <w:spacing w:line="240" w:lineRule="auto"/>
            </w:pPr>
            <w:r>
              <w:rPr>
                <w:sz w:val="16"/>
              </w:rPr>
            </w:r>
            <w:r>
              <w:rPr>
                <w:sz w:val="16"/>
              </w:rPr>
              <w:t>N0_posthoc</w:t>
            </w:r>
          </w:p>
        </w:tc>
        <w:tc>
          <w:tcPr>
            <w:tcW w:type="dxa" w:w="1881"/>
          </w:tcPr>
          <w:p>
            <w:pPr>
              <w:spacing w:line="240" w:lineRule="auto"/>
            </w:pPr>
            <w:r>
              <w:rPr>
                <w:sz w:val="16"/>
              </w:rPr>
            </w:r>
            <w:r>
              <w:rPr>
                <w:sz w:val="16"/>
              </w:rPr>
              <w:t>48</w:t>
            </w:r>
          </w:p>
        </w:tc>
        <w:tc>
          <w:tcPr>
            <w:tcW w:type="dxa" w:w="1881"/>
          </w:tcPr>
          <w:p>
            <w:pPr>
              <w:spacing w:line="240" w:lineRule="auto"/>
            </w:pPr>
            <w:r>
              <w:rPr>
                <w:sz w:val="16"/>
              </w:rPr>
            </w:r>
            <w:r>
              <w:rPr>
                <w:sz w:val="16"/>
              </w:rPr>
              <w:t>13</w:t>
            </w:r>
          </w:p>
        </w:tc>
        <w:tc>
          <w:tcPr>
            <w:tcW w:type="dxa" w:w="1881"/>
          </w:tcPr>
          <w:p>
            <w:pPr>
              <w:spacing w:line="240" w:lineRule="auto"/>
            </w:pPr>
            <w:r>
              <w:rPr>
                <w:sz w:val="16"/>
              </w:rPr>
            </w:r>
            <w:r>
              <w:rPr>
                <w:sz w:val="16"/>
              </w:rPr>
              <w:t>33</w:t>
            </w:r>
          </w:p>
        </w:tc>
        <w:tc>
          <w:tcPr>
            <w:tcW w:type="dxa" w:w="1881"/>
          </w:tcPr>
          <w:p>
            <w:pPr>
              <w:spacing w:line="240" w:lineRule="auto"/>
            </w:pPr>
            <w:r>
              <w:rPr>
                <w:sz w:val="16"/>
              </w:rPr>
            </w:r>
            <w:r>
              <w:rPr>
                <w:sz w:val="16"/>
              </w:rPr>
              <w:t>2</w:t>
            </w:r>
          </w:p>
        </w:tc>
      </w:tr>
      <w:tr>
        <w:tc>
          <w:tcPr>
            <w:tcW w:type="dxa" w:w="1881"/>
          </w:tcPr>
          <w:p>
            <w:pPr>
              <w:spacing w:line="240" w:lineRule="auto"/>
            </w:pPr>
            <w:r>
              <w:rPr>
                <w:sz w:val="16"/>
              </w:rPr>
            </w:r>
            <w:r>
              <w:rPr>
                <w:sz w:val="16"/>
              </w:rPr>
              <w:t>K:gam_h_x_lambda_L</w:t>
            </w:r>
          </w:p>
        </w:tc>
        <w:tc>
          <w:tcPr>
            <w:tcW w:type="dxa" w:w="1881"/>
          </w:tcPr>
          <w:p>
            <w:pPr>
              <w:spacing w:line="240" w:lineRule="auto"/>
            </w:pPr>
            <w:r>
              <w:rPr>
                <w:sz w:val="16"/>
              </w:rPr>
            </w:r>
            <w:r>
              <w:rPr>
                <w:sz w:val="16"/>
              </w:rPr>
              <w:t>47</w:t>
            </w:r>
          </w:p>
        </w:tc>
        <w:tc>
          <w:tcPr>
            <w:tcW w:type="dxa" w:w="1881"/>
          </w:tcPr>
          <w:p>
            <w:pPr>
              <w:spacing w:line="240" w:lineRule="auto"/>
            </w:pPr>
            <w:r>
              <w:rPr>
                <w:sz w:val="16"/>
              </w:rPr>
            </w:r>
            <w:r>
              <w:rPr>
                <w:sz w:val="16"/>
              </w:rPr>
              <w:t>10</w:t>
            </w:r>
          </w:p>
        </w:tc>
        <w:tc>
          <w:tcPr>
            <w:tcW w:type="dxa" w:w="1881"/>
          </w:tcPr>
          <w:p>
            <w:pPr>
              <w:spacing w:line="240" w:lineRule="auto"/>
            </w:pPr>
            <w:r>
              <w:rPr>
                <w:sz w:val="16"/>
              </w:rPr>
            </w:r>
            <w:r>
              <w:rPr>
                <w:sz w:val="16"/>
              </w:rPr>
              <w:t>27</w:t>
            </w:r>
          </w:p>
        </w:tc>
        <w:tc>
          <w:tcPr>
            <w:tcW w:type="dxa" w:w="1881"/>
          </w:tcPr>
          <w:p>
            <w:pPr>
              <w:spacing w:line="240" w:lineRule="auto"/>
            </w:pPr>
            <w:r>
              <w:rPr>
                <w:sz w:val="16"/>
              </w:rPr>
            </w:r>
            <w:r>
              <w:rPr>
                <w:sz w:val="16"/>
              </w:rPr>
              <w:t>10</w:t>
            </w:r>
          </w:p>
        </w:tc>
      </w:tr>
      <w:tr>
        <w:tc>
          <w:tcPr>
            <w:tcW w:type="dxa" w:w="1881"/>
          </w:tcPr>
          <w:p>
            <w:pPr>
              <w:spacing w:line="240" w:lineRule="auto"/>
            </w:pPr>
            <w:r>
              <w:rPr>
                <w:sz w:val="16"/>
              </w:rPr>
            </w:r>
            <w:r>
              <w:rPr>
                <w:sz w:val="16"/>
              </w:rPr>
              <w:t>K:gp_logit</w:t>
            </w:r>
          </w:p>
        </w:tc>
        <w:tc>
          <w:tcPr>
            <w:tcW w:type="dxa" w:w="1881"/>
          </w:tcPr>
          <w:p>
            <w:pPr>
              <w:spacing w:line="240" w:lineRule="auto"/>
            </w:pPr>
            <w:r>
              <w:rPr>
                <w:sz w:val="16"/>
              </w:rPr>
            </w:r>
            <w:r>
              <w:rPr>
                <w:sz w:val="16"/>
              </w:rPr>
              <w:t>37</w:t>
            </w:r>
          </w:p>
        </w:tc>
        <w:tc>
          <w:tcPr>
            <w:tcW w:type="dxa" w:w="1881"/>
          </w:tcPr>
          <w:p>
            <w:pPr>
              <w:spacing w:line="240" w:lineRule="auto"/>
            </w:pPr>
            <w:r>
              <w:rPr>
                <w:sz w:val="16"/>
              </w:rPr>
            </w:r>
            <w:r>
              <w:rPr>
                <w:sz w:val="16"/>
              </w:rPr>
              <w:t>13</w:t>
            </w:r>
          </w:p>
        </w:tc>
        <w:tc>
          <w:tcPr>
            <w:tcW w:type="dxa" w:w="1881"/>
          </w:tcPr>
          <w:p>
            <w:pPr>
              <w:spacing w:line="240" w:lineRule="auto"/>
            </w:pPr>
            <w:r>
              <w:rPr>
                <w:sz w:val="16"/>
              </w:rPr>
            </w:r>
            <w:r>
              <w:rPr>
                <w:sz w:val="16"/>
              </w:rPr>
              <w:t>15</w:t>
            </w:r>
          </w:p>
        </w:tc>
        <w:tc>
          <w:tcPr>
            <w:tcW w:type="dxa" w:w="1881"/>
          </w:tcPr>
          <w:p>
            <w:pPr>
              <w:spacing w:line="240" w:lineRule="auto"/>
            </w:pPr>
            <w:r>
              <w:rPr>
                <w:sz w:val="16"/>
              </w:rPr>
            </w:r>
            <w:r>
              <w:rPr>
                <w:sz w:val="16"/>
              </w:rPr>
              <w:t>9</w:t>
            </w:r>
          </w:p>
        </w:tc>
      </w:tr>
    </w:tbl>
    <w:p/>
    <w:p>
      <w:r>
        <w:t>Each column classifies ±1 compatibility with the finite-batch candidate set, retaining its holes and possible nonattainment. These are not confidence bounds on prediction accuracy.</w:t>
      </w:r>
    </w:p>
    <w:p>
      <w:r>
        <w:t>On the selected Stage D singletons, M1 records 9 within-one-person hits with MAE 0.7; M2 records 9 hits with MAE 0.5; the post hoc N₀ comparator records 9 hits with MAE 0.3; and M0 records 2 hits with MAE 2.9. The selected singleton subset includes 8 floor-associated singletons. M1/M2 and the arithmetic N₀ comparator have the same singleton within-one-person hit count in this selected subset; N₀ also has the lower singleton MAE here. That pattern does not establish global superiority of any predictor. The old 67% general-accuracy claim cannot be replaced by a new percentage on this subset and offered as a whole-design result.</w:t>
      </w:r>
    </w:p>
    <w:p>
      <w:r>
        <w:t>M3 selected the observation window. Apparent singleton proximity of M3 is therefore not independent evidence that its surface estimates global minima accurately. All/some/none columns describe each point relative to its candidate set; they are not confidence bounds on population accuracy. Direction below all finite candidates is reported only where a finite minimum is assumed; nonattainment still carries no numerical error.</w:t>
      </w:r>
    </w:p>
    <w:p>
      <w:pPr>
        <w:pStyle w:val="Heading3"/>
      </w:pPr>
      <w:r>
        <w:t>3.5 Arithmetic comparator against N₀</w:t>
      </w:r>
    </w:p>
    <w:p>
      <w:r>
        <w:t>Table 8 reports the arithmetic comparison of M0 = round(1.6 W) and of post hoc ceil(1.6 W) against N₀ on the promoted design.</w:t>
      </w:r>
    </w:p>
    <w:p>
      <w:r>
        <w:rPr>
          <w:b/>
        </w:rPr>
        <w:t>Table 8. Arithmetic floor comparisons.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sz w:val="16"/>
              </w:rPr>
            </w:r>
            <w:r>
              <w:rPr>
                <w:sz w:val="16"/>
              </w:rPr>
              <w:t>arithmetic comparison</w:t>
            </w:r>
          </w:p>
        </w:tc>
        <w:tc>
          <w:tcPr>
            <w:tcW w:type="dxa" w:w="2351"/>
          </w:tcPr>
          <w:p>
            <w:pPr>
              <w:spacing w:line="240" w:lineRule="auto"/>
            </w:pPr>
            <w:r>
              <w:rPr>
                <w:sz w:val="16"/>
              </w:rPr>
            </w:r>
            <w:r>
              <w:rPr>
                <w:sz w:val="16"/>
              </w:rPr>
              <w:t>stairs</w:t>
            </w:r>
          </w:p>
        </w:tc>
        <w:tc>
          <w:tcPr>
            <w:tcW w:type="dxa" w:w="2351"/>
          </w:tcPr>
          <w:p>
            <w:pPr>
              <w:spacing w:line="240" w:lineRule="auto"/>
            </w:pPr>
            <w:r>
              <w:rPr>
                <w:sz w:val="16"/>
              </w:rPr>
            </w:r>
            <w:r>
              <w:rPr>
                <w:sz w:val="16"/>
              </w:rPr>
              <w:t>denominator</w:t>
            </w:r>
          </w:p>
        </w:tc>
        <w:tc>
          <w:tcPr>
            <w:tcW w:type="dxa" w:w="2351"/>
          </w:tcPr>
          <w:p>
            <w:pPr>
              <w:spacing w:line="240" w:lineRule="auto"/>
            </w:pPr>
            <w:r>
              <w:rPr>
                <w:sz w:val="16"/>
              </w:rPr>
            </w:r>
            <w:r>
              <w:rPr>
                <w:sz w:val="16"/>
              </w:rPr>
              <w:t>percent</w:t>
            </w:r>
          </w:p>
        </w:tc>
      </w:tr>
      <w:tr>
        <w:tc>
          <w:tcPr>
            <w:tcW w:type="dxa" w:w="2351"/>
          </w:tcPr>
          <w:p>
            <w:pPr>
              <w:spacing w:line="240" w:lineRule="auto"/>
            </w:pPr>
            <w:r>
              <w:rPr>
                <w:sz w:val="16"/>
              </w:rPr>
            </w:r>
            <w:r>
              <w:rPr>
                <w:sz w:val="16"/>
              </w:rPr>
              <w:t>round(1.6W) &lt; N0</w:t>
            </w:r>
          </w:p>
        </w:tc>
        <w:tc>
          <w:tcPr>
            <w:tcW w:type="dxa" w:w="2351"/>
          </w:tcPr>
          <w:p>
            <w:pPr>
              <w:spacing w:line="240" w:lineRule="auto"/>
            </w:pPr>
            <w:r>
              <w:rPr>
                <w:sz w:val="16"/>
              </w:rPr>
            </w:r>
            <w:r>
              <w:rPr>
                <w:sz w:val="16"/>
              </w:rPr>
              <w:t>351</w:t>
            </w:r>
          </w:p>
        </w:tc>
        <w:tc>
          <w:tcPr>
            <w:tcW w:type="dxa" w:w="2351"/>
          </w:tcPr>
          <w:p>
            <w:pPr>
              <w:spacing w:line="240" w:lineRule="auto"/>
            </w:pPr>
            <w:r>
              <w:rPr>
                <w:sz w:val="16"/>
              </w:rPr>
            </w:r>
            <w:r>
              <w:rPr>
                <w:sz w:val="16"/>
              </w:rPr>
              <w:t>540</w:t>
            </w:r>
          </w:p>
        </w:tc>
        <w:tc>
          <w:tcPr>
            <w:tcW w:type="dxa" w:w="2351"/>
          </w:tcPr>
          <w:p>
            <w:pPr>
              <w:spacing w:line="240" w:lineRule="auto"/>
            </w:pPr>
            <w:r>
              <w:rPr>
                <w:sz w:val="16"/>
              </w:rPr>
            </w:r>
            <w:r>
              <w:rPr>
                <w:sz w:val="16"/>
              </w:rPr>
              <w:t>65.0</w:t>
            </w:r>
          </w:p>
        </w:tc>
      </w:tr>
      <w:tr>
        <w:tc>
          <w:tcPr>
            <w:tcW w:type="dxa" w:w="2351"/>
          </w:tcPr>
          <w:p>
            <w:pPr>
              <w:spacing w:line="240" w:lineRule="auto"/>
            </w:pPr>
            <w:r>
              <w:rPr>
                <w:sz w:val="16"/>
              </w:rPr>
            </w:r>
            <w:r>
              <w:rPr>
                <w:sz w:val="16"/>
              </w:rPr>
              <w:t>ceil(1.6W) &lt; N0 (post hoc)</w:t>
            </w:r>
          </w:p>
        </w:tc>
        <w:tc>
          <w:tcPr>
            <w:tcW w:type="dxa" w:w="2351"/>
          </w:tcPr>
          <w:p>
            <w:pPr>
              <w:spacing w:line="240" w:lineRule="auto"/>
            </w:pPr>
            <w:r>
              <w:rPr>
                <w:sz w:val="16"/>
              </w:rPr>
            </w:r>
            <w:r>
              <w:rPr>
                <w:sz w:val="16"/>
              </w:rPr>
              <w:t>307</w:t>
            </w:r>
          </w:p>
        </w:tc>
        <w:tc>
          <w:tcPr>
            <w:tcW w:type="dxa" w:w="2351"/>
          </w:tcPr>
          <w:p>
            <w:pPr>
              <w:spacing w:line="240" w:lineRule="auto"/>
            </w:pPr>
            <w:r>
              <w:rPr>
                <w:sz w:val="16"/>
              </w:rPr>
            </w:r>
            <w:r>
              <w:rPr>
                <w:sz w:val="16"/>
              </w:rPr>
              <w:t>540</w:t>
            </w:r>
          </w:p>
        </w:tc>
        <w:tc>
          <w:tcPr>
            <w:tcW w:type="dxa" w:w="2351"/>
          </w:tcPr>
          <w:p>
            <w:pPr>
              <w:spacing w:line="240" w:lineRule="auto"/>
            </w:pPr>
            <w:r>
              <w:rPr>
                <w:sz w:val="16"/>
              </w:rPr>
            </w:r>
            <w:r>
              <w:rPr>
                <w:sz w:val="16"/>
              </w:rPr>
              <w:t>56.9</w:t>
            </w:r>
          </w:p>
        </w:tc>
      </w:tr>
    </w:tbl>
    <w:p/>
    <w:p>
      <w:r>
        <w:t>These compare headcounts with the compiler's arithmetic floor over promoted synthetic stairs. They do not measure patient safety, annual FTE, or a validated global minimum.</w:t>
      </w:r>
    </w:p>
    <w:p>
      <w:r>
        <w:t>On the 540 promoted stairs, round(1.6 W) lies below N₀ on 351 stairs and ceil(1.6 W) lies below N₀ on 307 stairs. These are arithmetic statements over the promoted design, not patient-safety findings and not boundary-dependent claims. They separate a counting deficit of the 1.6 rule of thumb from any claim about located H*. The superseded v0.3 statement that the multiplier missed a located floor on almost the entire design mixed those two things. The present tables keep them apart. Where M0 lies below every finite candidate of a completion set, that is a descriptive set-relation, not a definite population underestimation of a global minimum.</w:t>
      </w:r>
    </w:p>
    <w:p>
      <w:pPr>
        <w:pStyle w:val="Heading3"/>
      </w:pPr>
      <w:r>
        <w:t>3.6 Deterministic band sensitivity</w:t>
      </w:r>
    </w:p>
    <w:p>
      <w:r>
        <w:t>Table 9 reports how singleton counts and finite upper endpoints change when every cell band is widened by a deterministic +/-epsilon grid while τ stays fixed.</w:t>
      </w:r>
    </w:p>
    <w:p>
      <w:r>
        <w:rPr>
          <w:b/>
        </w:rPr>
        <w:t>Table 9. Deterministic band-widening sensitivity.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sz w:val="16"/>
              </w:rPr>
            </w:r>
            <w:r>
              <w:rPr>
                <w:sz w:val="16"/>
              </w:rPr>
              <w:t>subset</w:t>
            </w:r>
          </w:p>
        </w:tc>
        <w:tc>
          <w:tcPr>
            <w:tcW w:type="dxa" w:w="2351"/>
          </w:tcPr>
          <w:p>
            <w:pPr>
              <w:spacing w:line="240" w:lineRule="auto"/>
            </w:pPr>
            <w:r>
              <w:rPr>
                <w:sz w:val="16"/>
              </w:rPr>
            </w:r>
            <w:r>
              <w:rPr>
                <w:sz w:val="16"/>
              </w:rPr>
              <w:t>epsilon</w:t>
            </w:r>
          </w:p>
        </w:tc>
        <w:tc>
          <w:tcPr>
            <w:tcW w:type="dxa" w:w="2351"/>
          </w:tcPr>
          <w:p>
            <w:pPr>
              <w:spacing w:line="240" w:lineRule="auto"/>
            </w:pPr>
            <w:r>
              <w:rPr>
                <w:sz w:val="16"/>
              </w:rPr>
            </w:r>
            <w:r>
              <w:rPr>
                <w:sz w:val="16"/>
              </w:rPr>
              <w:t>singleton count</w:t>
            </w:r>
          </w:p>
        </w:tc>
        <w:tc>
          <w:tcPr>
            <w:tcW w:type="dxa" w:w="2351"/>
          </w:tcPr>
          <w:p>
            <w:pPr>
              <w:spacing w:line="240" w:lineRule="auto"/>
            </w:pPr>
            <w:r>
              <w:rPr>
                <w:sz w:val="16"/>
              </w:rPr>
            </w:r>
            <w:r>
              <w:rPr>
                <w:sz w:val="16"/>
              </w:rPr>
              <w:t>count with finite upper endpoint</w:t>
            </w:r>
          </w:p>
        </w:tc>
      </w:tr>
      <w:tr>
        <w:tc>
          <w:tcPr>
            <w:tcW w:type="dxa" w:w="2351"/>
          </w:tcPr>
          <w:p>
            <w:pPr>
              <w:spacing w:line="240" w:lineRule="auto"/>
            </w:pPr>
            <w:r>
              <w:rPr>
                <w:sz w:val="16"/>
              </w:rPr>
            </w:r>
            <w:r>
              <w:rPr>
                <w:sz w:val="16"/>
              </w:rPr>
              <w:t>D</w:t>
            </w:r>
          </w:p>
        </w:tc>
        <w:tc>
          <w:tcPr>
            <w:tcW w:type="dxa" w:w="2351"/>
          </w:tcPr>
          <w:p>
            <w:pPr>
              <w:spacing w:line="240" w:lineRule="auto"/>
            </w:pPr>
            <w:r>
              <w:rPr>
                <w:sz w:val="16"/>
              </w:rPr>
            </w:r>
            <w:r>
              <w:rPr>
                <w:sz w:val="16"/>
              </w:rPr>
              <w:t>0.0</w:t>
            </w:r>
          </w:p>
        </w:tc>
        <w:tc>
          <w:tcPr>
            <w:tcW w:type="dxa" w:w="2351"/>
          </w:tcPr>
          <w:p>
            <w:pPr>
              <w:spacing w:line="240" w:lineRule="auto"/>
            </w:pPr>
            <w:r>
              <w:rPr>
                <w:sz w:val="16"/>
              </w:rPr>
            </w:r>
            <w:r>
              <w:rPr>
                <w:sz w:val="16"/>
              </w:rPr>
              <w:t>10</w:t>
            </w:r>
          </w:p>
        </w:tc>
        <w:tc>
          <w:tcPr>
            <w:tcW w:type="dxa" w:w="2351"/>
          </w:tcPr>
          <w:p>
            <w:pPr>
              <w:spacing w:line="240" w:lineRule="auto"/>
            </w:pPr>
            <w:r>
              <w:rPr>
                <w:sz w:val="16"/>
              </w:rPr>
            </w:r>
            <w:r>
              <w:rPr>
                <w:sz w:val="16"/>
              </w:rPr>
              <w:t>36</w:t>
            </w:r>
          </w:p>
        </w:tc>
      </w:tr>
      <w:tr>
        <w:tc>
          <w:tcPr>
            <w:tcW w:type="dxa" w:w="2351"/>
          </w:tcPr>
          <w:p>
            <w:pPr>
              <w:spacing w:line="240" w:lineRule="auto"/>
            </w:pPr>
            <w:r>
              <w:rPr>
                <w:sz w:val="16"/>
              </w:rPr>
            </w:r>
            <w:r>
              <w:rPr>
                <w:sz w:val="16"/>
              </w:rPr>
              <w:t>D</w:t>
            </w:r>
          </w:p>
        </w:tc>
        <w:tc>
          <w:tcPr>
            <w:tcW w:type="dxa" w:w="2351"/>
          </w:tcPr>
          <w:p>
            <w:pPr>
              <w:spacing w:line="240" w:lineRule="auto"/>
            </w:pPr>
            <w:r>
              <w:rPr>
                <w:sz w:val="16"/>
              </w:rPr>
            </w:r>
            <w:r>
              <w:rPr>
                <w:sz w:val="16"/>
              </w:rPr>
              <w:t>0.005</w:t>
            </w:r>
          </w:p>
        </w:tc>
        <w:tc>
          <w:tcPr>
            <w:tcW w:type="dxa" w:w="2351"/>
          </w:tcPr>
          <w:p>
            <w:pPr>
              <w:spacing w:line="240" w:lineRule="auto"/>
            </w:pPr>
            <w:r>
              <w:rPr>
                <w:sz w:val="16"/>
              </w:rPr>
            </w:r>
            <w:r>
              <w:rPr>
                <w:sz w:val="16"/>
              </w:rPr>
              <w:t>7</w:t>
            </w:r>
          </w:p>
        </w:tc>
        <w:tc>
          <w:tcPr>
            <w:tcW w:type="dxa" w:w="2351"/>
          </w:tcPr>
          <w:p>
            <w:pPr>
              <w:spacing w:line="240" w:lineRule="auto"/>
            </w:pPr>
            <w:r>
              <w:rPr>
                <w:sz w:val="16"/>
              </w:rPr>
            </w:r>
            <w:r>
              <w:rPr>
                <w:sz w:val="16"/>
              </w:rPr>
              <w:t>27</w:t>
            </w:r>
          </w:p>
        </w:tc>
      </w:tr>
      <w:tr>
        <w:tc>
          <w:tcPr>
            <w:tcW w:type="dxa" w:w="2351"/>
          </w:tcPr>
          <w:p>
            <w:pPr>
              <w:spacing w:line="240" w:lineRule="auto"/>
            </w:pPr>
            <w:r>
              <w:rPr>
                <w:sz w:val="16"/>
              </w:rPr>
            </w:r>
            <w:r>
              <w:rPr>
                <w:sz w:val="16"/>
              </w:rPr>
              <w:t>D</w:t>
            </w:r>
          </w:p>
        </w:tc>
        <w:tc>
          <w:tcPr>
            <w:tcW w:type="dxa" w:w="2351"/>
          </w:tcPr>
          <w:p>
            <w:pPr>
              <w:spacing w:line="240" w:lineRule="auto"/>
            </w:pPr>
            <w:r>
              <w:rPr>
                <w:sz w:val="16"/>
              </w:rPr>
            </w:r>
            <w:r>
              <w:rPr>
                <w:sz w:val="16"/>
              </w:rPr>
              <w:t>0.01</w:t>
            </w:r>
          </w:p>
        </w:tc>
        <w:tc>
          <w:tcPr>
            <w:tcW w:type="dxa" w:w="2351"/>
          </w:tcPr>
          <w:p>
            <w:pPr>
              <w:spacing w:line="240" w:lineRule="auto"/>
            </w:pPr>
            <w:r>
              <w:rPr>
                <w:sz w:val="16"/>
              </w:rPr>
            </w:r>
            <w:r>
              <w:rPr>
                <w:sz w:val="16"/>
              </w:rPr>
              <w:t>6</w:t>
            </w:r>
          </w:p>
        </w:tc>
        <w:tc>
          <w:tcPr>
            <w:tcW w:type="dxa" w:w="2351"/>
          </w:tcPr>
          <w:p>
            <w:pPr>
              <w:spacing w:line="240" w:lineRule="auto"/>
            </w:pPr>
            <w:r>
              <w:rPr>
                <w:sz w:val="16"/>
              </w:rPr>
            </w:r>
            <w:r>
              <w:rPr>
                <w:sz w:val="16"/>
              </w:rPr>
              <w:t>22</w:t>
            </w:r>
          </w:p>
        </w:tc>
      </w:tr>
      <w:tr>
        <w:tc>
          <w:tcPr>
            <w:tcW w:type="dxa" w:w="2351"/>
          </w:tcPr>
          <w:p>
            <w:pPr>
              <w:spacing w:line="240" w:lineRule="auto"/>
            </w:pPr>
            <w:r>
              <w:rPr>
                <w:sz w:val="16"/>
              </w:rPr>
            </w:r>
            <w:r>
              <w:rPr>
                <w:sz w:val="16"/>
              </w:rPr>
              <w:t>D</w:t>
            </w:r>
          </w:p>
        </w:tc>
        <w:tc>
          <w:tcPr>
            <w:tcW w:type="dxa" w:w="2351"/>
          </w:tcPr>
          <w:p>
            <w:pPr>
              <w:spacing w:line="240" w:lineRule="auto"/>
            </w:pPr>
            <w:r>
              <w:rPr>
                <w:sz w:val="16"/>
              </w:rPr>
            </w:r>
            <w:r>
              <w:rPr>
                <w:sz w:val="16"/>
              </w:rPr>
              <w:t>0.02</w:t>
            </w:r>
          </w:p>
        </w:tc>
        <w:tc>
          <w:tcPr>
            <w:tcW w:type="dxa" w:w="2351"/>
          </w:tcPr>
          <w:p>
            <w:pPr>
              <w:spacing w:line="240" w:lineRule="auto"/>
            </w:pPr>
            <w:r>
              <w:rPr>
                <w:sz w:val="16"/>
              </w:rPr>
            </w:r>
            <w:r>
              <w:rPr>
                <w:sz w:val="16"/>
              </w:rPr>
              <w:t>3</w:t>
            </w:r>
          </w:p>
        </w:tc>
        <w:tc>
          <w:tcPr>
            <w:tcW w:type="dxa" w:w="2351"/>
          </w:tcPr>
          <w:p>
            <w:pPr>
              <w:spacing w:line="240" w:lineRule="auto"/>
            </w:pPr>
            <w:r>
              <w:rPr>
                <w:sz w:val="16"/>
              </w:rPr>
            </w:r>
            <w:r>
              <w:rPr>
                <w:sz w:val="16"/>
              </w:rPr>
              <w:t>12</w:t>
            </w:r>
          </w:p>
        </w:tc>
      </w:tr>
      <w:tr>
        <w:tc>
          <w:tcPr>
            <w:tcW w:type="dxa" w:w="2351"/>
          </w:tcPr>
          <w:p>
            <w:pPr>
              <w:spacing w:line="240" w:lineRule="auto"/>
            </w:pPr>
            <w:r>
              <w:rPr>
                <w:sz w:val="16"/>
              </w:rPr>
            </w:r>
            <w:r>
              <w:rPr>
                <w:sz w:val="16"/>
              </w:rPr>
              <w:t>map_C</w:t>
            </w:r>
          </w:p>
        </w:tc>
        <w:tc>
          <w:tcPr>
            <w:tcW w:type="dxa" w:w="2351"/>
          </w:tcPr>
          <w:p>
            <w:pPr>
              <w:spacing w:line="240" w:lineRule="auto"/>
            </w:pPr>
            <w:r>
              <w:rPr>
                <w:sz w:val="16"/>
              </w:rPr>
            </w:r>
            <w:r>
              <w:rPr>
                <w:sz w:val="16"/>
              </w:rPr>
              <w:t>0.0</w:t>
            </w:r>
          </w:p>
        </w:tc>
        <w:tc>
          <w:tcPr>
            <w:tcW w:type="dxa" w:w="2351"/>
          </w:tcPr>
          <w:p>
            <w:pPr>
              <w:spacing w:line="240" w:lineRule="auto"/>
            </w:pPr>
            <w:r>
              <w:rPr>
                <w:sz w:val="16"/>
              </w:rPr>
            </w:r>
            <w:r>
              <w:rPr>
                <w:sz w:val="16"/>
              </w:rPr>
              <w:t>240</w:t>
            </w:r>
          </w:p>
        </w:tc>
        <w:tc>
          <w:tcPr>
            <w:tcW w:type="dxa" w:w="2351"/>
          </w:tcPr>
          <w:p>
            <w:pPr>
              <w:spacing w:line="240" w:lineRule="auto"/>
            </w:pPr>
            <w:r>
              <w:rPr>
                <w:sz w:val="16"/>
              </w:rPr>
            </w:r>
            <w:r>
              <w:rPr>
                <w:sz w:val="16"/>
              </w:rPr>
              <w:t>320</w:t>
            </w:r>
          </w:p>
        </w:tc>
      </w:tr>
      <w:tr>
        <w:tc>
          <w:tcPr>
            <w:tcW w:type="dxa" w:w="2351"/>
          </w:tcPr>
          <w:p>
            <w:pPr>
              <w:spacing w:line="240" w:lineRule="auto"/>
            </w:pPr>
            <w:r>
              <w:rPr>
                <w:sz w:val="16"/>
              </w:rPr>
            </w:r>
            <w:r>
              <w:rPr>
                <w:sz w:val="16"/>
              </w:rPr>
              <w:t>map_C</w:t>
            </w:r>
          </w:p>
        </w:tc>
        <w:tc>
          <w:tcPr>
            <w:tcW w:type="dxa" w:w="2351"/>
          </w:tcPr>
          <w:p>
            <w:pPr>
              <w:spacing w:line="240" w:lineRule="auto"/>
            </w:pPr>
            <w:r>
              <w:rPr>
                <w:sz w:val="16"/>
              </w:rPr>
            </w:r>
            <w:r>
              <w:rPr>
                <w:sz w:val="16"/>
              </w:rPr>
              <w:t>0.005</w:t>
            </w:r>
          </w:p>
        </w:tc>
        <w:tc>
          <w:tcPr>
            <w:tcW w:type="dxa" w:w="2351"/>
          </w:tcPr>
          <w:p>
            <w:pPr>
              <w:spacing w:line="240" w:lineRule="auto"/>
            </w:pPr>
            <w:r>
              <w:rPr>
                <w:sz w:val="16"/>
              </w:rPr>
            </w:r>
            <w:r>
              <w:rPr>
                <w:sz w:val="16"/>
              </w:rPr>
              <w:t>148</w:t>
            </w:r>
          </w:p>
        </w:tc>
        <w:tc>
          <w:tcPr>
            <w:tcW w:type="dxa" w:w="2351"/>
          </w:tcPr>
          <w:p>
            <w:pPr>
              <w:spacing w:line="240" w:lineRule="auto"/>
            </w:pPr>
            <w:r>
              <w:rPr>
                <w:sz w:val="16"/>
              </w:rPr>
            </w:r>
            <w:r>
              <w:rPr>
                <w:sz w:val="16"/>
              </w:rPr>
              <w:t>248</w:t>
            </w:r>
          </w:p>
        </w:tc>
      </w:tr>
      <w:tr>
        <w:tc>
          <w:tcPr>
            <w:tcW w:type="dxa" w:w="2351"/>
          </w:tcPr>
          <w:p>
            <w:pPr>
              <w:spacing w:line="240" w:lineRule="auto"/>
            </w:pPr>
            <w:r>
              <w:rPr>
                <w:sz w:val="16"/>
              </w:rPr>
            </w:r>
            <w:r>
              <w:rPr>
                <w:sz w:val="16"/>
              </w:rPr>
              <w:t>map_C</w:t>
            </w:r>
          </w:p>
        </w:tc>
        <w:tc>
          <w:tcPr>
            <w:tcW w:type="dxa" w:w="2351"/>
          </w:tcPr>
          <w:p>
            <w:pPr>
              <w:spacing w:line="240" w:lineRule="auto"/>
            </w:pPr>
            <w:r>
              <w:rPr>
                <w:sz w:val="16"/>
              </w:rPr>
            </w:r>
            <w:r>
              <w:rPr>
                <w:sz w:val="16"/>
              </w:rPr>
              <w:t>0.01</w:t>
            </w:r>
          </w:p>
        </w:tc>
        <w:tc>
          <w:tcPr>
            <w:tcW w:type="dxa" w:w="2351"/>
          </w:tcPr>
          <w:p>
            <w:pPr>
              <w:spacing w:line="240" w:lineRule="auto"/>
            </w:pPr>
            <w:r>
              <w:rPr>
                <w:sz w:val="16"/>
              </w:rPr>
            </w:r>
            <w:r>
              <w:rPr>
                <w:sz w:val="16"/>
              </w:rPr>
              <w:t>94</w:t>
            </w:r>
          </w:p>
        </w:tc>
        <w:tc>
          <w:tcPr>
            <w:tcW w:type="dxa" w:w="2351"/>
          </w:tcPr>
          <w:p>
            <w:pPr>
              <w:spacing w:line="240" w:lineRule="auto"/>
            </w:pPr>
            <w:r>
              <w:rPr>
                <w:sz w:val="16"/>
              </w:rPr>
            </w:r>
            <w:r>
              <w:rPr>
                <w:sz w:val="16"/>
              </w:rPr>
              <w:t>180</w:t>
            </w:r>
          </w:p>
        </w:tc>
      </w:tr>
      <w:tr>
        <w:tc>
          <w:tcPr>
            <w:tcW w:type="dxa" w:w="2351"/>
          </w:tcPr>
          <w:p>
            <w:pPr>
              <w:spacing w:line="240" w:lineRule="auto"/>
            </w:pPr>
            <w:r>
              <w:rPr>
                <w:sz w:val="16"/>
              </w:rPr>
            </w:r>
            <w:r>
              <w:rPr>
                <w:sz w:val="16"/>
              </w:rPr>
              <w:t>map_C</w:t>
            </w:r>
          </w:p>
        </w:tc>
        <w:tc>
          <w:tcPr>
            <w:tcW w:type="dxa" w:w="2351"/>
          </w:tcPr>
          <w:p>
            <w:pPr>
              <w:spacing w:line="240" w:lineRule="auto"/>
            </w:pPr>
            <w:r>
              <w:rPr>
                <w:sz w:val="16"/>
              </w:rPr>
            </w:r>
            <w:r>
              <w:rPr>
                <w:sz w:val="16"/>
              </w:rPr>
              <w:t>0.02</w:t>
            </w:r>
          </w:p>
        </w:tc>
        <w:tc>
          <w:tcPr>
            <w:tcW w:type="dxa" w:w="2351"/>
          </w:tcPr>
          <w:p>
            <w:pPr>
              <w:spacing w:line="240" w:lineRule="auto"/>
            </w:pPr>
            <w:r>
              <w:rPr>
                <w:sz w:val="16"/>
              </w:rPr>
            </w:r>
            <w:r>
              <w:rPr>
                <w:sz w:val="16"/>
              </w:rPr>
              <w:t>29</w:t>
            </w:r>
          </w:p>
        </w:tc>
        <w:tc>
          <w:tcPr>
            <w:tcW w:type="dxa" w:w="2351"/>
          </w:tcPr>
          <w:p>
            <w:pPr>
              <w:spacing w:line="240" w:lineRule="auto"/>
            </w:pPr>
            <w:r>
              <w:rPr>
                <w:sz w:val="16"/>
              </w:rPr>
            </w:r>
            <w:r>
              <w:rPr>
                <w:sz w:val="16"/>
              </w:rPr>
              <w:t>62</w:t>
            </w:r>
          </w:p>
        </w:tc>
      </w:tr>
    </w:tbl>
    <w:p/>
    <w:p>
      <w:r>
        <w:t>Post hoc deterministic widening of the censoring bands by ±epsilon, clipped to [0,1], with tau fixed at 19/20. Epsilon is neither an estimated standard error nor a coverage-calibrated confidence bound.</w:t>
      </w:r>
    </w:p>
    <w:p>
      <w:r>
        <w:t>The perturbation grid is post hoc and is not selected to achieve a favourable result. No epsilon is a standard error, a coverage level, or an externally justified uncertainty bound. The grid is not a change of τ and is not estimated sampling error. It shows only that unique attainment is sensitive to how wide one is willing to draw a logical band around a finite-batch rate. That sensitivity is a reason not to treat singleton counts as population thresholds.</w:t>
      </w:r>
    </w:p>
    <w:p>
      <w:pPr>
        <w:pStyle w:val="Heading3"/>
      </w:pPr>
      <w:r>
        <w:t>3.7 Plan deviations that remain</w:t>
      </w:r>
    </w:p>
    <w:p>
      <w:r>
        <w:t>Table 10 records the inferential deliveries that plan K named and that this campaign did not provide, together with the sampling features that additional inference would have to confront.</w:t>
      </w:r>
    </w:p>
    <w:p>
      <w:r>
        <w:rPr>
          <w:b/>
        </w:rPr>
        <w:t>Table 10. Deviations and interpretive limits.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sz w:val="16"/>
              </w:rPr>
            </w:r>
            <w:r>
              <w:rPr>
                <w:sz w:val="16"/>
              </w:rPr>
              <w:t>item</w:t>
            </w:r>
          </w:p>
        </w:tc>
        <w:tc>
          <w:tcPr>
            <w:tcW w:type="dxa" w:w="3135"/>
          </w:tcPr>
          <w:p>
            <w:pPr>
              <w:spacing w:line="240" w:lineRule="auto"/>
            </w:pPr>
            <w:r>
              <w:rPr>
                <w:sz w:val="16"/>
              </w:rPr>
            </w:r>
            <w:r>
              <w:rPr>
                <w:sz w:val="16"/>
              </w:rPr>
              <w:t>record / deviation</w:t>
            </w:r>
          </w:p>
        </w:tc>
        <w:tc>
          <w:tcPr>
            <w:tcW w:type="dxa" w:w="3135"/>
          </w:tcPr>
          <w:p>
            <w:pPr>
              <w:spacing w:line="240" w:lineRule="auto"/>
            </w:pPr>
            <w:r>
              <w:rPr>
                <w:sz w:val="16"/>
              </w:rPr>
            </w:r>
            <w:r>
              <w:rPr>
                <w:sz w:val="16"/>
              </w:rPr>
              <w:t>current interpretation</w:t>
            </w:r>
          </w:p>
        </w:tc>
      </w:tr>
      <w:tr>
        <w:tc>
          <w:tcPr>
            <w:tcW w:type="dxa" w:w="3135"/>
          </w:tcPr>
          <w:p>
            <w:pPr>
              <w:spacing w:line="240" w:lineRule="auto"/>
            </w:pPr>
            <w:r>
              <w:rPr>
                <w:sz w:val="16"/>
              </w:rPr>
            </w:r>
            <w:r>
              <w:rPr>
                <w:sz w:val="16"/>
              </w:rPr>
              <w:t>Global boundary reading</w:t>
            </w:r>
          </w:p>
        </w:tc>
        <w:tc>
          <w:tcPr>
            <w:tcW w:type="dxa" w:w="3135"/>
          </w:tcPr>
          <w:p>
            <w:pPr>
              <w:spacing w:line="240" w:lineRule="auto"/>
            </w:pPr>
            <w:r>
              <w:rPr>
                <w:sz w:val="16"/>
              </w:rPr>
            </w:r>
            <w:r>
              <w:rPr>
                <w:sz w:val="16"/>
              </w:rPr>
              <w:t>Local adjacent upward crossings used as global minima</w:t>
            </w:r>
          </w:p>
        </w:tc>
        <w:tc>
          <w:tcPr>
            <w:tcW w:type="dxa" w:w="3135"/>
          </w:tcPr>
          <w:p>
            <w:pPr>
              <w:spacing w:line="240" w:lineRule="auto"/>
            </w:pPr>
            <w:r>
              <w:rPr>
                <w:sz w:val="16"/>
              </w:rPr>
            </w:r>
            <w:r>
              <w:rPr>
                <w:sz w:val="16"/>
              </w:rPr>
              <w:t>Separate observed attainment, crossings and logical completion sets</w:t>
            </w:r>
          </w:p>
        </w:tc>
      </w:tr>
      <w:tr>
        <w:tc>
          <w:tcPr>
            <w:tcW w:type="dxa" w:w="3135"/>
          </w:tcPr>
          <w:p>
            <w:pPr>
              <w:spacing w:line="240" w:lineRule="auto"/>
            </w:pPr>
            <w:r>
              <w:rPr>
                <w:sz w:val="16"/>
              </w:rPr>
            </w:r>
            <w:r>
              <w:rPr>
                <w:sz w:val="16"/>
              </w:rPr>
              <w:t>Training labels</w:t>
            </w:r>
          </w:p>
        </w:tc>
        <w:tc>
          <w:tcPr>
            <w:tcW w:type="dxa" w:w="3135"/>
          </w:tcPr>
          <w:p>
            <w:pPr>
              <w:spacing w:line="240" w:lineRule="auto"/>
            </w:pPr>
            <w:r>
              <w:rPr>
                <w:sz w:val="16"/>
              </w:rPr>
            </w:r>
            <w:r>
              <w:rPr>
                <w:sz w:val="16"/>
              </w:rPr>
              <w:t>Primary M1/M2 used local labels</w:t>
            </w:r>
          </w:p>
        </w:tc>
        <w:tc>
          <w:tcPr>
            <w:tcW w:type="dxa" w:w="3135"/>
          </w:tcPr>
          <w:p>
            <w:pPr>
              <w:spacing w:line="240" w:lineRule="auto"/>
            </w:pPr>
            <w:r>
              <w:rPr>
                <w:sz w:val="16"/>
              </w:rPr>
            </w:r>
            <w:r>
              <w:rPr>
                <w:sz w:val="16"/>
              </w:rPr>
              <w:t>Retain frozen coefficients; disclose affected labels; no superiority claim</w:t>
            </w:r>
          </w:p>
        </w:tc>
      </w:tr>
      <w:tr>
        <w:tc>
          <w:tcPr>
            <w:tcW w:type="dxa" w:w="3135"/>
          </w:tcPr>
          <w:p>
            <w:pPr>
              <w:spacing w:line="240" w:lineRule="auto"/>
            </w:pPr>
            <w:r>
              <w:rPr>
                <w:sz w:val="16"/>
              </w:rPr>
            </w:r>
            <w:r>
              <w:rPr>
                <w:sz w:val="16"/>
              </w:rPr>
              <w:t>D chronology</w:t>
            </w:r>
          </w:p>
        </w:tc>
        <w:tc>
          <w:tcPr>
            <w:tcW w:type="dxa" w:w="3135"/>
          </w:tcPr>
          <w:p>
            <w:pPr>
              <w:spacing w:line="240" w:lineRule="auto"/>
            </w:pPr>
            <w:r>
              <w:rPr>
                <w:sz w:val="16"/>
              </w:rPr>
            </w:r>
            <w:r>
              <w:rPr>
                <w:sz w:val="16"/>
              </w:rPr>
              <w:t>GAM table/run freeze before execution; M1/M2 ladder and reader during execution</w:t>
            </w:r>
          </w:p>
        </w:tc>
        <w:tc>
          <w:tcPr>
            <w:tcW w:type="dxa" w:w="3135"/>
          </w:tcPr>
          <w:p>
            <w:pPr>
              <w:spacing w:line="240" w:lineRule="auto"/>
            </w:pPr>
            <w:r>
              <w:rPr>
                <w:sz w:val="16"/>
              </w:rPr>
            </w:r>
            <w:r>
              <w:rPr>
                <w:sz w:val="16"/>
              </w:rPr>
              <w:t>No external registration or complete blinding claim; monitor exposed x347 h4, x348 h0/h1</w:t>
            </w:r>
          </w:p>
        </w:tc>
      </w:tr>
      <w:tr>
        <w:tc>
          <w:tcPr>
            <w:tcW w:type="dxa" w:w="3135"/>
          </w:tcPr>
          <w:p>
            <w:pPr>
              <w:spacing w:line="240" w:lineRule="auto"/>
            </w:pPr>
            <w:r>
              <w:rPr>
                <w:sz w:val="16"/>
              </w:rPr>
            </w:r>
            <w:r>
              <w:rPr>
                <w:sz w:val="16"/>
              </w:rPr>
              <w:t>K6 uncertainty</w:t>
            </w:r>
          </w:p>
        </w:tc>
        <w:tc>
          <w:tcPr>
            <w:tcW w:type="dxa" w:w="3135"/>
          </w:tcPr>
          <w:p>
            <w:pPr>
              <w:spacing w:line="240" w:lineRule="auto"/>
            </w:pPr>
            <w:r>
              <w:rPr>
                <w:sz w:val="16"/>
              </w:rPr>
            </w:r>
            <w:r>
              <w:rPr>
                <w:sz w:val="16"/>
              </w:rPr>
              <w:t>Fixed-label bootstrap and cell Wilson summaries</w:t>
            </w:r>
          </w:p>
        </w:tc>
        <w:tc>
          <w:tcPr>
            <w:tcW w:type="dxa" w:w="3135"/>
          </w:tcPr>
          <w:p>
            <w:pPr>
              <w:spacing w:line="240" w:lineRule="auto"/>
            </w:pPr>
            <w:r>
              <w:rPr>
                <w:sz w:val="16"/>
              </w:rPr>
            </w:r>
            <w:r>
              <w:rPr>
                <w:sz w:val="16"/>
              </w:rPr>
              <w:t>No simultaneous population surface or slice coverage established</w:t>
            </w:r>
          </w:p>
        </w:tc>
      </w:tr>
      <w:tr>
        <w:tc>
          <w:tcPr>
            <w:tcW w:type="dxa" w:w="3135"/>
          </w:tcPr>
          <w:p>
            <w:pPr>
              <w:spacing w:line="240" w:lineRule="auto"/>
            </w:pPr>
            <w:r>
              <w:rPr>
                <w:sz w:val="16"/>
              </w:rPr>
            </w:r>
            <w:r>
              <w:rPr>
                <w:sz w:val="16"/>
              </w:rPr>
              <w:t>Smoothing selection</w:t>
            </w:r>
          </w:p>
        </w:tc>
        <w:tc>
          <w:tcPr>
            <w:tcW w:type="dxa" w:w="3135"/>
          </w:tcPr>
          <w:p>
            <w:pPr>
              <w:spacing w:line="240" w:lineRule="auto"/>
            </w:pPr>
            <w:r>
              <w:rPr>
                <w:sz w:val="16"/>
              </w:rPr>
            </w:r>
            <w:r>
              <w:rPr>
                <w:sz w:val="16"/>
              </w:rPr>
              <w:t>Six-lambda pyGAM gridsearch</w:t>
            </w:r>
          </w:p>
        </w:tc>
        <w:tc>
          <w:tcPr>
            <w:tcW w:type="dxa" w:w="3135"/>
          </w:tcPr>
          <w:p>
            <w:pPr>
              <w:spacing w:line="240" w:lineRule="auto"/>
            </w:pPr>
            <w:r>
              <w:rPr>
                <w:sz w:val="16"/>
              </w:rPr>
            </w:r>
            <w:r>
              <w:rPr>
                <w:sz w:val="16"/>
              </w:rPr>
              <w:t>Default binomial UBRE; grouped predictive evaluation is separate</w:t>
            </w:r>
          </w:p>
        </w:tc>
      </w:tr>
      <w:tr>
        <w:tc>
          <w:tcPr>
            <w:tcW w:type="dxa" w:w="3135"/>
          </w:tcPr>
          <w:p>
            <w:pPr>
              <w:spacing w:line="240" w:lineRule="auto"/>
            </w:pPr>
            <w:r>
              <w:rPr>
                <w:sz w:val="16"/>
              </w:rPr>
            </w:r>
            <w:r>
              <w:rPr>
                <w:sz w:val="16"/>
              </w:rPr>
              <w:t>Sobol target</w:t>
            </w:r>
          </w:p>
        </w:tc>
        <w:tc>
          <w:tcPr>
            <w:tcW w:type="dxa" w:w="3135"/>
          </w:tcPr>
          <w:p>
            <w:pPr>
              <w:spacing w:line="240" w:lineRule="auto"/>
            </w:pPr>
            <w:r>
              <w:rPr>
                <w:sz w:val="16"/>
              </w:rPr>
            </w:r>
            <w:r>
              <w:rPr>
                <w:sz w:val="16"/>
              </w:rPr>
              <w:t>Fitted GAM crossing; absent crossings substituted by h=12</w:t>
            </w:r>
          </w:p>
        </w:tc>
        <w:tc>
          <w:tcPr>
            <w:tcW w:type="dxa" w:w="3135"/>
          </w:tcPr>
          <w:p>
            <w:pPr>
              <w:spacing w:line="240" w:lineRule="auto"/>
            </w:pPr>
            <w:r>
              <w:rPr>
                <w:sz w:val="16"/>
              </w:rPr>
            </w:r>
            <w:r>
              <w:rPr>
                <w:sz w:val="16"/>
              </w:rPr>
              <w:t>Surrogate-and-substitution sensitivity only; no global H* decomposition</w:t>
            </w:r>
          </w:p>
        </w:tc>
      </w:tr>
      <w:tr>
        <w:tc>
          <w:tcPr>
            <w:tcW w:type="dxa" w:w="3135"/>
          </w:tcPr>
          <w:p>
            <w:pPr>
              <w:spacing w:line="240" w:lineRule="auto"/>
            </w:pPr>
            <w:r>
              <w:rPr>
                <w:sz w:val="16"/>
              </w:rPr>
            </w:r>
            <w:r>
              <w:rPr>
                <w:sz w:val="16"/>
              </w:rPr>
              <w:t>Anchor-002</w:t>
            </w:r>
          </w:p>
        </w:tc>
        <w:tc>
          <w:tcPr>
            <w:tcW w:type="dxa" w:w="3135"/>
          </w:tcPr>
          <w:p>
            <w:pPr>
              <w:spacing w:line="240" w:lineRule="auto"/>
            </w:pPr>
            <w:r>
              <w:rPr>
                <w:sz w:val="16"/>
              </w:rPr>
            </w:r>
            <w:r>
              <w:rPr>
                <w:sz w:val="16"/>
              </w:rPr>
              <w:t>Equivalence margin satisfied; extra zero-T gate failed</w:t>
            </w:r>
          </w:p>
        </w:tc>
        <w:tc>
          <w:tcPr>
            <w:tcW w:type="dxa" w:w="3135"/>
          </w:tcPr>
          <w:p>
            <w:pPr>
              <w:spacing w:line="240" w:lineRule="auto"/>
            </w:pPr>
            <w:r>
              <w:rPr>
                <w:sz w:val="16"/>
              </w:rPr>
            </w:r>
            <w:r>
              <w:rPr>
                <w:sz w:val="16"/>
              </w:rPr>
              <w:t>Retain composite NO-GO; zero inclusion is not equivalence failure</w:t>
            </w:r>
          </w:p>
        </w:tc>
      </w:tr>
      <w:tr>
        <w:tc>
          <w:tcPr>
            <w:tcW w:type="dxa" w:w="3135"/>
          </w:tcPr>
          <w:p>
            <w:pPr>
              <w:spacing w:line="240" w:lineRule="auto"/>
            </w:pPr>
            <w:r>
              <w:rPr>
                <w:sz w:val="16"/>
              </w:rPr>
            </w:r>
            <w:r>
              <w:rPr>
                <w:sz w:val="16"/>
              </w:rPr>
              <w:t>New comparators / sensitivity</w:t>
            </w:r>
          </w:p>
        </w:tc>
        <w:tc>
          <w:tcPr>
            <w:tcW w:type="dxa" w:w="3135"/>
          </w:tcPr>
          <w:p>
            <w:pPr>
              <w:spacing w:line="240" w:lineRule="auto"/>
            </w:pPr>
            <w:r>
              <w:rPr>
                <w:sz w:val="16"/>
              </w:rPr>
            </w:r>
            <w:r>
              <w:rPr>
                <w:sz w:val="16"/>
              </w:rPr>
              <w:t>N0, ceiling and epsilon grid introduced after D</w:t>
            </w:r>
          </w:p>
        </w:tc>
        <w:tc>
          <w:tcPr>
            <w:tcW w:type="dxa" w:w="3135"/>
          </w:tcPr>
          <w:p>
            <w:pPr>
              <w:spacing w:line="240" w:lineRule="auto"/>
            </w:pPr>
            <w:r>
              <w:rPr>
                <w:sz w:val="16"/>
              </w:rPr>
            </w:r>
            <w:r>
              <w:rPr>
                <w:sz w:val="16"/>
              </w:rPr>
              <w:t>Explicitly post hoc, descriptive and not refitted or confirmatory</w:t>
            </w:r>
          </w:p>
        </w:tc>
      </w:tr>
    </w:tbl>
    <w:p/>
    <w:p>
      <w:r>
        <w:t>This analysis deliberately separates (a) logical completion of finite-batch censored outcomes, (b) deterministic probability-band perturbation, and (c) population sampling inference, which is not delivered here. Simultaneous surface bands were not delivered. The cluster bootstrap of already-fixed labels does not close that gap. Additional inferential work would require a defined target, tail-bank/root assignment units, handling of map/C outcome-adaptive sampling, and propagation through minima and model fitting. The present aggregate-only correction neither supplies nor claims those guarantees. Outcome-adaptive Stage C selection, banked-tail dependence, unobserved rungs, and the M3-centred Stage D window all remain.</w:t>
      </w:r>
    </w:p>
    <w:p>
      <w:pPr>
        <w:pStyle w:val="Heading3"/>
      </w:pPr>
      <w:r>
        <w:t>3.8 Fitted surfaces as originally estimated</w:t>
      </w:r>
    </w:p>
    <w:p>
      <w:r>
        <w:t>Table 11 describes the frozen prediction mechanisms and their interpretation limits. Historical log-loss and local-label performance remain in the archived analysis files rather than being presented as corrected global-minimum scores.</w:t>
      </w:r>
    </w:p>
    <w:p>
      <w:r>
        <w:rPr>
          <w:b/>
        </w:rPr>
        <w:t>Table 11. Frozen prediction mechanisms.</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sz w:val="16"/>
              </w:rPr>
            </w:r>
            <w:r>
              <w:rPr>
                <w:sz w:val="16"/>
              </w:rPr>
              <w:t>label</w:t>
            </w:r>
          </w:p>
        </w:tc>
        <w:tc>
          <w:tcPr>
            <w:tcW w:type="dxa" w:w="3135"/>
          </w:tcPr>
          <w:p>
            <w:pPr>
              <w:spacing w:line="240" w:lineRule="auto"/>
            </w:pPr>
            <w:r>
              <w:rPr>
                <w:sz w:val="16"/>
              </w:rPr>
            </w:r>
            <w:r>
              <w:rPr>
                <w:sz w:val="16"/>
              </w:rPr>
              <w:t>prediction mechanism</w:t>
            </w:r>
          </w:p>
        </w:tc>
        <w:tc>
          <w:tcPr>
            <w:tcW w:type="dxa" w:w="3135"/>
          </w:tcPr>
          <w:p>
            <w:pPr>
              <w:spacing w:line="240" w:lineRule="auto"/>
            </w:pPr>
            <w:r>
              <w:rPr>
                <w:sz w:val="16"/>
              </w:rPr>
            </w:r>
            <w:r>
              <w:rPr>
                <w:sz w:val="16"/>
              </w:rPr>
              <w:t>scope</w:t>
            </w:r>
          </w:p>
        </w:tc>
      </w:tr>
      <w:tr>
        <w:tc>
          <w:tcPr>
            <w:tcW w:type="dxa" w:w="3135"/>
          </w:tcPr>
          <w:p>
            <w:pPr>
              <w:spacing w:line="240" w:lineRule="auto"/>
            </w:pPr>
            <w:r>
              <w:rPr>
                <w:sz w:val="16"/>
              </w:rPr>
            </w:r>
            <w:r>
              <w:rPr>
                <w:sz w:val="16"/>
              </w:rPr>
              <w:t>M0</w:t>
            </w:r>
          </w:p>
        </w:tc>
        <w:tc>
          <w:tcPr>
            <w:tcW w:type="dxa" w:w="3135"/>
          </w:tcPr>
          <w:p>
            <w:pPr>
              <w:spacing w:line="240" w:lineRule="auto"/>
            </w:pPr>
            <w:r>
              <w:rPr>
                <w:sz w:val="16"/>
              </w:rPr>
            </w:r>
            <w:r>
              <w:rPr>
                <w:sz w:val="16"/>
              </w:rPr>
              <w:t>round(1.6W)</w:t>
            </w:r>
          </w:p>
        </w:tc>
        <w:tc>
          <w:tcPr>
            <w:tcW w:type="dxa" w:w="3135"/>
          </w:tcPr>
          <w:p>
            <w:pPr>
              <w:spacing w:line="240" w:lineRule="auto"/>
            </w:pPr>
            <w:r>
              <w:rPr>
                <w:sz w:val="16"/>
              </w:rPr>
            </w:r>
            <w:r>
              <w:rPr>
                <w:sz w:val="16"/>
              </w:rPr>
              <w:t>Fixed arithmetic comparator; original Python rounding</w:t>
            </w:r>
          </w:p>
        </w:tc>
      </w:tr>
      <w:tr>
        <w:tc>
          <w:tcPr>
            <w:tcW w:type="dxa" w:w="3135"/>
          </w:tcPr>
          <w:p>
            <w:pPr>
              <w:spacing w:line="240" w:lineRule="auto"/>
            </w:pPr>
            <w:r>
              <w:rPr>
                <w:sz w:val="16"/>
              </w:rPr>
            </w:r>
            <w:r>
              <w:rPr>
                <w:sz w:val="16"/>
              </w:rPr>
              <w:t>M1</w:t>
            </w:r>
          </w:p>
        </w:tc>
        <w:tc>
          <w:tcPr>
            <w:tcW w:type="dxa" w:w="3135"/>
          </w:tcPr>
          <w:p>
            <w:pPr>
              <w:spacing w:line="240" w:lineRule="auto"/>
            </w:pPr>
            <w:r>
              <w:rPr>
                <w:sz w:val="16"/>
              </w:rPr>
            </w:r>
            <w:r>
              <w:rPr>
                <w:sz w:val="16"/>
              </w:rPr>
              <w:t>Frozen regression for staffing ratio</w:t>
            </w:r>
          </w:p>
        </w:tc>
        <w:tc>
          <w:tcPr>
            <w:tcW w:type="dxa" w:w="3135"/>
          </w:tcPr>
          <w:p>
            <w:pPr>
              <w:spacing w:line="240" w:lineRule="auto"/>
            </w:pPr>
            <w:r>
              <w:rPr>
                <w:sz w:val="16"/>
              </w:rPr>
            </w:r>
            <w:r>
              <w:rPr>
                <w:sz w:val="16"/>
              </w:rPr>
              <w:t>Primary decouple local-label training; no lower-bound guarantee</w:t>
            </w:r>
          </w:p>
        </w:tc>
      </w:tr>
      <w:tr>
        <w:tc>
          <w:tcPr>
            <w:tcW w:type="dxa" w:w="3135"/>
          </w:tcPr>
          <w:p>
            <w:pPr>
              <w:spacing w:line="240" w:lineRule="auto"/>
            </w:pPr>
            <w:r>
              <w:rPr>
                <w:sz w:val="16"/>
              </w:rPr>
            </w:r>
            <w:r>
              <w:rPr>
                <w:sz w:val="16"/>
              </w:rPr>
              <w:t>M2</w:t>
            </w:r>
          </w:p>
        </w:tc>
        <w:tc>
          <w:tcPr>
            <w:tcW w:type="dxa" w:w="3135"/>
          </w:tcPr>
          <w:p>
            <w:pPr>
              <w:spacing w:line="240" w:lineRule="auto"/>
            </w:pPr>
            <w:r>
              <w:rPr>
                <w:sz w:val="16"/>
              </w:rPr>
            </w:r>
            <w:r>
              <w:rPr>
                <w:sz w:val="16"/>
              </w:rPr>
              <w:t>Frozen regression for premium above N0</w:t>
            </w:r>
          </w:p>
        </w:tc>
        <w:tc>
          <w:tcPr>
            <w:tcW w:type="dxa" w:w="3135"/>
          </w:tcPr>
          <w:p>
            <w:pPr>
              <w:spacing w:line="240" w:lineRule="auto"/>
            </w:pPr>
            <w:r>
              <w:rPr>
                <w:sz w:val="16"/>
              </w:rPr>
            </w:r>
            <w:r>
              <w:rPr>
                <w:sz w:val="16"/>
              </w:rPr>
              <w:t>Same affected training-label issue</w:t>
            </w:r>
          </w:p>
        </w:tc>
      </w:tr>
      <w:tr>
        <w:tc>
          <w:tcPr>
            <w:tcW w:type="dxa" w:w="3135"/>
          </w:tcPr>
          <w:p>
            <w:pPr>
              <w:spacing w:line="240" w:lineRule="auto"/>
            </w:pPr>
            <w:r>
              <w:rPr>
                <w:sz w:val="16"/>
              </w:rPr>
            </w:r>
            <w:r>
              <w:rPr>
                <w:sz w:val="16"/>
              </w:rPr>
              <w:t>M3</w:t>
            </w:r>
          </w:p>
        </w:tc>
        <w:tc>
          <w:tcPr>
            <w:tcW w:type="dxa" w:w="3135"/>
          </w:tcPr>
          <w:p>
            <w:pPr>
              <w:spacing w:line="240" w:lineRule="auto"/>
            </w:pPr>
            <w:r>
              <w:rPr>
                <w:sz w:val="16"/>
              </w:rPr>
            </w:r>
            <w:r>
              <w:rPr>
                <w:sz w:val="16"/>
              </w:rPr>
              <w:t>Additive logistic GAM probability surface</w:t>
            </w:r>
          </w:p>
        </w:tc>
        <w:tc>
          <w:tcPr>
            <w:tcW w:type="dxa" w:w="3135"/>
          </w:tcPr>
          <w:p>
            <w:pPr>
              <w:spacing w:line="240" w:lineRule="auto"/>
            </w:pPr>
            <w:r>
              <w:rPr>
                <w:sz w:val="16"/>
              </w:rPr>
            </w:r>
            <w:r>
              <w:rPr>
                <w:sz w:val="16"/>
              </w:rPr>
              <w:t>Selected D observation windows; UBRE smoothing selection</w:t>
            </w:r>
          </w:p>
        </w:tc>
      </w:tr>
      <w:tr>
        <w:tc>
          <w:tcPr>
            <w:tcW w:type="dxa" w:w="3135"/>
          </w:tcPr>
          <w:p>
            <w:pPr>
              <w:spacing w:line="240" w:lineRule="auto"/>
            </w:pPr>
            <w:r>
              <w:rPr>
                <w:sz w:val="16"/>
              </w:rPr>
            </w:r>
            <w:r>
              <w:rPr>
                <w:sz w:val="16"/>
              </w:rPr>
              <w:t>Interaction GAM</w:t>
            </w:r>
          </w:p>
        </w:tc>
        <w:tc>
          <w:tcPr>
            <w:tcW w:type="dxa" w:w="3135"/>
          </w:tcPr>
          <w:p>
            <w:pPr>
              <w:spacing w:line="240" w:lineRule="auto"/>
            </w:pPr>
            <w:r>
              <w:rPr>
                <w:sz w:val="16"/>
              </w:rPr>
            </w:r>
            <w:r>
              <w:rPr>
                <w:sz w:val="16"/>
              </w:rPr>
              <w:t>GAM with h by lambda_L interaction</w:t>
            </w:r>
          </w:p>
        </w:tc>
        <w:tc>
          <w:tcPr>
            <w:tcW w:type="dxa" w:w="3135"/>
          </w:tcPr>
          <w:p>
            <w:pPr>
              <w:spacing w:line="240" w:lineRule="auto"/>
            </w:pPr>
            <w:r>
              <w:rPr>
                <w:sz w:val="16"/>
              </w:rPr>
            </w:r>
            <w:r>
              <w:rPr>
                <w:sz w:val="16"/>
              </w:rPr>
              <w:t>Alternative frozen probability surface</w:t>
            </w:r>
          </w:p>
        </w:tc>
      </w:tr>
      <w:tr>
        <w:tc>
          <w:tcPr>
            <w:tcW w:type="dxa" w:w="3135"/>
          </w:tcPr>
          <w:p>
            <w:pPr>
              <w:spacing w:line="240" w:lineRule="auto"/>
            </w:pPr>
            <w:r>
              <w:rPr>
                <w:sz w:val="16"/>
              </w:rPr>
            </w:r>
            <w:r>
              <w:rPr>
                <w:sz w:val="16"/>
              </w:rPr>
              <w:t>GP logit</w:t>
            </w:r>
          </w:p>
        </w:tc>
        <w:tc>
          <w:tcPr>
            <w:tcW w:type="dxa" w:w="3135"/>
          </w:tcPr>
          <w:p>
            <w:pPr>
              <w:spacing w:line="240" w:lineRule="auto"/>
            </w:pPr>
            <w:r>
              <w:rPr>
                <w:sz w:val="16"/>
              </w:rPr>
            </w:r>
            <w:r>
              <w:rPr>
                <w:sz w:val="16"/>
              </w:rPr>
              <w:t>Gaussian-process regression on empirical logits</w:t>
            </w:r>
          </w:p>
        </w:tc>
        <w:tc>
          <w:tcPr>
            <w:tcW w:type="dxa" w:w="3135"/>
          </w:tcPr>
          <w:p>
            <w:pPr>
              <w:spacing w:line="240" w:lineRule="auto"/>
            </w:pPr>
            <w:r>
              <w:rPr>
                <w:sz w:val="16"/>
              </w:rPr>
            </w:r>
            <w:r>
              <w:rPr>
                <w:sz w:val="16"/>
              </w:rPr>
              <w:t>Probability surrogate; incomplete D prediction availability</w:t>
            </w:r>
          </w:p>
        </w:tc>
      </w:tr>
      <w:tr>
        <w:tc>
          <w:tcPr>
            <w:tcW w:type="dxa" w:w="3135"/>
          </w:tcPr>
          <w:p>
            <w:pPr>
              <w:spacing w:line="240" w:lineRule="auto"/>
            </w:pPr>
            <w:r>
              <w:rPr>
                <w:sz w:val="16"/>
              </w:rPr>
            </w:r>
            <w:r>
              <w:rPr>
                <w:sz w:val="16"/>
              </w:rPr>
              <w:t>N0_posthoc</w:t>
            </w:r>
          </w:p>
        </w:tc>
        <w:tc>
          <w:tcPr>
            <w:tcW w:type="dxa" w:w="3135"/>
          </w:tcPr>
          <w:p>
            <w:pPr>
              <w:spacing w:line="240" w:lineRule="auto"/>
            </w:pPr>
            <w:r>
              <w:rPr>
                <w:sz w:val="16"/>
              </w:rPr>
            </w:r>
            <w:r>
              <w:rPr>
                <w:sz w:val="16"/>
              </w:rPr>
              <w:t>Compiler arithmetic floor</w:t>
            </w:r>
          </w:p>
        </w:tc>
        <w:tc>
          <w:tcPr>
            <w:tcW w:type="dxa" w:w="3135"/>
          </w:tcPr>
          <w:p>
            <w:pPr>
              <w:spacing w:line="240" w:lineRule="auto"/>
            </w:pPr>
            <w:r>
              <w:rPr>
                <w:sz w:val="16"/>
              </w:rPr>
            </w:r>
            <w:r>
              <w:rPr>
                <w:sz w:val="16"/>
              </w:rPr>
              <w:t>Added descriptive comparator; not a fitted model</w:t>
            </w:r>
          </w:p>
        </w:tc>
      </w:tr>
    </w:tbl>
    <w:p/>
    <w:p>
      <w:r>
        <w:t>Those surfaces remain what was fitted. They are not repaired by the completion reader. Partial dependence on h that saturates after a few rungs above N₀ is qualitative context for why τ = 0.95 is hard to identify: adding heads moves a decided rate that already sits near the target by very little, and nonmonotone dips are compatible with that plateau. Disagreement between GAM and GP about the first rung at which a fitted curve reaches τ is expected on a plateau and is not resolved by declaring one family the winner. Sobol ranks derived from the GAM-plus-h=12 substitute are reported, if at all, only as ranks of that surrogate calculation (source manifest). They are not a variance decomposition of true global H*.</w:t>
      </w:r>
    </w:p>
    <w:p>
      <w:pPr>
        <w:pStyle w:val="Heading3"/>
      </w:pPr>
      <w:r>
        <w:t>3.9 Reader coverage under designed truth</w:t>
      </w:r>
    </w:p>
    <w:p>
      <w:r>
        <w:t>Table 12 reports the controlled validation of §2.6 (design in that section): 195 configurations of designed curve × true first attainment × window offset × censoring share, 2000 replications each, n = 300 per rung, with both readers imported unchanged.</w:t>
      </w:r>
    </w:p>
    <w:p>
      <w:r>
        <w:rPr>
          <w:b/>
        </w:rPr>
        <w:t>Table 12. Completion-set reader and v0.3 local rule under designed truth.</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pPr>
              <w:spacing w:line="240" w:lineRule="auto"/>
            </w:pPr>
            <w:r>
              <w:rPr>
                <w:sz w:val="16"/>
              </w:rPr>
            </w:r>
            <w:r>
              <w:rPr>
                <w:sz w:val="16"/>
              </w:rPr>
              <w:t>designed curve</w:t>
            </w:r>
          </w:p>
        </w:tc>
        <w:tc>
          <w:tcPr>
            <w:tcW w:type="dxa" w:w="1045"/>
          </w:tcPr>
          <w:p>
            <w:pPr>
              <w:spacing w:line="240" w:lineRule="auto"/>
            </w:pPr>
            <w:r>
              <w:rPr>
                <w:sz w:val="16"/>
              </w:rPr>
            </w:r>
            <w:r>
              <w:rPr>
                <w:sz w:val="16"/>
              </w:rPr>
              <w:t>configurations</w:t>
            </w:r>
          </w:p>
        </w:tc>
        <w:tc>
          <w:tcPr>
            <w:tcW w:type="dxa" w:w="1045"/>
          </w:tcPr>
          <w:p>
            <w:pPr>
              <w:spacing w:line="240" w:lineRule="auto"/>
            </w:pPr>
            <w:r>
              <w:rPr>
                <w:sz w:val="16"/>
              </w:rPr>
            </w:r>
            <w:r>
              <w:rPr>
                <w:sz w:val="16"/>
              </w:rPr>
              <w:t>coverage, conditional (%)</w:t>
            </w:r>
          </w:p>
        </w:tc>
        <w:tc>
          <w:tcPr>
            <w:tcW w:type="dxa" w:w="1045"/>
          </w:tcPr>
          <w:p>
            <w:pPr>
              <w:spacing w:line="240" w:lineRule="auto"/>
            </w:pPr>
            <w:r>
              <w:rPr>
                <w:sz w:val="16"/>
              </w:rPr>
            </w:r>
            <w:r>
              <w:rPr>
                <w:sz w:val="16"/>
              </w:rPr>
              <w:t>coverage, censoring (%)</w:t>
            </w:r>
          </w:p>
        </w:tc>
        <w:tc>
          <w:tcPr>
            <w:tcW w:type="dxa" w:w="1045"/>
          </w:tcPr>
          <w:p>
            <w:pPr>
              <w:spacing w:line="240" w:lineRule="auto"/>
            </w:pPr>
            <w:r>
              <w:rPr>
                <w:sz w:val="16"/>
              </w:rPr>
            </w:r>
            <w:r>
              <w:rPr>
                <w:sz w:val="16"/>
              </w:rPr>
              <w:t>coverage, censoring ± 1/100 (%)</w:t>
            </w:r>
          </w:p>
        </w:tc>
        <w:tc>
          <w:tcPr>
            <w:tcW w:type="dxa" w:w="1045"/>
          </w:tcPr>
          <w:p>
            <w:pPr>
              <w:spacing w:line="240" w:lineRule="auto"/>
            </w:pPr>
            <w:r>
              <w:rPr>
                <w:sz w:val="16"/>
              </w:rPr>
            </w:r>
            <w:r>
              <w:rPr>
                <w:sz w:val="16"/>
              </w:rPr>
              <w:t>singleton (%)</w:t>
            </w:r>
          </w:p>
        </w:tc>
        <w:tc>
          <w:tcPr>
            <w:tcW w:type="dxa" w:w="1045"/>
          </w:tcPr>
          <w:p>
            <w:pPr>
              <w:spacing w:line="240" w:lineRule="auto"/>
            </w:pPr>
            <w:r>
              <w:rPr>
                <w:sz w:val="16"/>
              </w:rPr>
            </w:r>
            <w:r>
              <w:rPr>
                <w:sz w:val="16"/>
              </w:rPr>
              <w:t>singleton and correct (%)</w:t>
            </w:r>
          </w:p>
        </w:tc>
        <w:tc>
          <w:tcPr>
            <w:tcW w:type="dxa" w:w="1045"/>
          </w:tcPr>
          <w:p>
            <w:pPr>
              <w:spacing w:line="240" w:lineRule="auto"/>
            </w:pPr>
            <w:r>
              <w:rPr>
                <w:sz w:val="16"/>
              </w:rPr>
            </w:r>
            <w:r>
              <w:rPr>
                <w:sz w:val="16"/>
              </w:rPr>
              <w:t>old rule located (%)</w:t>
            </w:r>
          </w:p>
        </w:tc>
        <w:tc>
          <w:tcPr>
            <w:tcW w:type="dxa" w:w="1045"/>
          </w:tcPr>
          <w:p>
            <w:pPr>
              <w:spacing w:line="240" w:lineRule="auto"/>
            </w:pPr>
            <w:r>
              <w:rPr>
                <w:sz w:val="16"/>
              </w:rPr>
            </w:r>
            <w:r>
              <w:rPr>
                <w:sz w:val="16"/>
              </w:rPr>
              <w:t>old rule located and correct (%)</w:t>
            </w:r>
          </w:p>
        </w:tc>
      </w:tr>
      <w:tr>
        <w:tc>
          <w:tcPr>
            <w:tcW w:type="dxa" w:w="1045"/>
          </w:tcPr>
          <w:p>
            <w:pPr>
              <w:spacing w:line="240" w:lineRule="auto"/>
            </w:pPr>
            <w:r>
              <w:rPr>
                <w:sz w:val="16"/>
              </w:rPr>
            </w:r>
            <w:r>
              <w:rPr>
                <w:sz w:val="16"/>
              </w:rPr>
              <w:t>dip after attainment (0.97, 0.93, 0.97)</w:t>
            </w:r>
          </w:p>
        </w:tc>
        <w:tc>
          <w:tcPr>
            <w:tcW w:type="dxa" w:w="1045"/>
          </w:tcPr>
          <w:p>
            <w:pPr>
              <w:spacing w:line="240" w:lineRule="auto"/>
            </w:pPr>
            <w:r>
              <w:rPr>
                <w:sz w:val="16"/>
              </w:rPr>
            </w:r>
            <w:r>
              <w:rPr>
                <w:sz w:val="16"/>
              </w:rPr>
              <w:t>45</w:t>
            </w:r>
          </w:p>
        </w:tc>
        <w:tc>
          <w:tcPr>
            <w:tcW w:type="dxa" w:w="1045"/>
          </w:tcPr>
          <w:p>
            <w:pPr>
              <w:spacing w:line="240" w:lineRule="auto"/>
            </w:pPr>
            <w:r>
              <w:rPr>
                <w:sz w:val="16"/>
              </w:rPr>
            </w:r>
            <w:r>
              <w:rPr>
                <w:sz w:val="16"/>
              </w:rPr>
              <w:t>97.9</w:t>
            </w:r>
          </w:p>
        </w:tc>
        <w:tc>
          <w:tcPr>
            <w:tcW w:type="dxa" w:w="1045"/>
          </w:tcPr>
          <w:p>
            <w:pPr>
              <w:spacing w:line="240" w:lineRule="auto"/>
            </w:pPr>
            <w:r>
              <w:rPr>
                <w:sz w:val="16"/>
              </w:rPr>
            </w:r>
            <w:r>
              <w:rPr>
                <w:sz w:val="16"/>
              </w:rPr>
              <w:t>98.9</w:t>
            </w:r>
          </w:p>
        </w:tc>
        <w:tc>
          <w:tcPr>
            <w:tcW w:type="dxa" w:w="1045"/>
          </w:tcPr>
          <w:p>
            <w:pPr>
              <w:spacing w:line="240" w:lineRule="auto"/>
            </w:pPr>
            <w:r>
              <w:rPr>
                <w:sz w:val="16"/>
              </w:rPr>
            </w:r>
            <w:r>
              <w:rPr>
                <w:sz w:val="16"/>
              </w:rPr>
              <w:t>99.9</w:t>
            </w:r>
          </w:p>
        </w:tc>
        <w:tc>
          <w:tcPr>
            <w:tcW w:type="dxa" w:w="1045"/>
          </w:tcPr>
          <w:p>
            <w:pPr>
              <w:spacing w:line="240" w:lineRule="auto"/>
            </w:pPr>
            <w:r>
              <w:rPr>
                <w:sz w:val="16"/>
              </w:rPr>
            </w:r>
            <w:r>
              <w:rPr>
                <w:sz w:val="16"/>
              </w:rPr>
              <w:t>26.2</w:t>
            </w:r>
          </w:p>
        </w:tc>
        <w:tc>
          <w:tcPr>
            <w:tcW w:type="dxa" w:w="1045"/>
          </w:tcPr>
          <w:p>
            <w:pPr>
              <w:spacing w:line="240" w:lineRule="auto"/>
            </w:pPr>
            <w:r>
              <w:rPr>
                <w:sz w:val="16"/>
              </w:rPr>
            </w:r>
            <w:r>
              <w:rPr>
                <w:sz w:val="16"/>
              </w:rPr>
              <w:t>25.9</w:t>
            </w:r>
          </w:p>
        </w:tc>
        <w:tc>
          <w:tcPr>
            <w:tcW w:type="dxa" w:w="1045"/>
          </w:tcPr>
          <w:p>
            <w:pPr>
              <w:spacing w:line="240" w:lineRule="auto"/>
            </w:pPr>
            <w:r>
              <w:rPr>
                <w:sz w:val="16"/>
              </w:rPr>
            </w:r>
            <w:r>
              <w:rPr>
                <w:sz w:val="16"/>
              </w:rPr>
              <w:t>61.9</w:t>
            </w:r>
          </w:p>
        </w:tc>
        <w:tc>
          <w:tcPr>
            <w:tcW w:type="dxa" w:w="1045"/>
          </w:tcPr>
          <w:p>
            <w:pPr>
              <w:spacing w:line="240" w:lineRule="auto"/>
            </w:pPr>
            <w:r>
              <w:rPr>
                <w:sz w:val="16"/>
              </w:rPr>
            </w:r>
            <w:r>
              <w:rPr>
                <w:sz w:val="16"/>
              </w:rPr>
              <w:t>25.8</w:t>
            </w:r>
          </w:p>
        </w:tc>
      </w:tr>
      <w:tr>
        <w:tc>
          <w:tcPr>
            <w:tcW w:type="dxa" w:w="1045"/>
          </w:tcPr>
          <w:p>
            <w:pPr>
              <w:spacing w:line="240" w:lineRule="auto"/>
            </w:pPr>
            <w:r>
              <w:rPr>
                <w:sz w:val="16"/>
              </w:rPr>
            </w:r>
            <w:r>
              <w:rPr>
                <w:sz w:val="16"/>
              </w:rPr>
              <w:t>never attains (0.94)</w:t>
            </w:r>
          </w:p>
        </w:tc>
        <w:tc>
          <w:tcPr>
            <w:tcW w:type="dxa" w:w="1045"/>
          </w:tcPr>
          <w:p>
            <w:pPr>
              <w:spacing w:line="240" w:lineRule="auto"/>
            </w:pPr>
            <w:r>
              <w:rPr>
                <w:sz w:val="16"/>
              </w:rPr>
            </w:r>
            <w:r>
              <w:rPr>
                <w:sz w:val="16"/>
              </w:rPr>
              <w:t>15</w:t>
            </w:r>
          </w:p>
        </w:tc>
        <w:tc>
          <w:tcPr>
            <w:tcW w:type="dxa" w:w="1045"/>
          </w:tcPr>
          <w:p>
            <w:pPr>
              <w:spacing w:line="240" w:lineRule="auto"/>
            </w:pPr>
            <w:r>
              <w:rPr>
                <w:sz w:val="16"/>
              </w:rPr>
            </w:r>
            <w:r>
              <w:rPr>
                <w:sz w:val="16"/>
              </w:rPr>
              <w:t>42.0</w:t>
            </w:r>
          </w:p>
        </w:tc>
        <w:tc>
          <w:tcPr>
            <w:tcW w:type="dxa" w:w="1045"/>
          </w:tcPr>
          <w:p>
            <w:pPr>
              <w:spacing w:line="240" w:lineRule="auto"/>
            </w:pPr>
            <w:r>
              <w:rPr>
                <w:sz w:val="16"/>
              </w:rPr>
            </w:r>
            <w:r>
              <w:rPr>
                <w:sz w:val="16"/>
              </w:rPr>
              <w:t>76.0</w:t>
            </w:r>
          </w:p>
        </w:tc>
        <w:tc>
          <w:tcPr>
            <w:tcW w:type="dxa" w:w="1045"/>
          </w:tcPr>
          <w:p>
            <w:pPr>
              <w:spacing w:line="240" w:lineRule="auto"/>
            </w:pPr>
            <w:r>
              <w:rPr>
                <w:sz w:val="16"/>
              </w:rPr>
            </w:r>
            <w:r>
              <w:rPr>
                <w:sz w:val="16"/>
              </w:rPr>
              <w:t>91.8</w:t>
            </w:r>
          </w:p>
        </w:tc>
        <w:tc>
          <w:tcPr>
            <w:tcW w:type="dxa" w:w="1045"/>
          </w:tcPr>
          <w:p>
            <w:pPr>
              <w:spacing w:line="240" w:lineRule="auto"/>
            </w:pPr>
            <w:r>
              <w:rPr>
                <w:sz w:val="16"/>
              </w:rPr>
            </w:r>
            <w:r>
              <w:rPr>
                <w:sz w:val="16"/>
              </w:rPr>
              <w:t>0.0</w:t>
            </w:r>
          </w:p>
        </w:tc>
        <w:tc>
          <w:tcPr>
            <w:tcW w:type="dxa" w:w="1045"/>
          </w:tcPr>
          <w:p>
            <w:pPr>
              <w:spacing w:line="240" w:lineRule="auto"/>
            </w:pPr>
            <w:r>
              <w:rPr>
                <w:sz w:val="16"/>
              </w:rPr>
            </w:r>
            <w:r>
              <w:rPr>
                <w:sz w:val="16"/>
              </w:rPr>
              <w:t>0.0</w:t>
            </w:r>
          </w:p>
        </w:tc>
        <w:tc>
          <w:tcPr>
            <w:tcW w:type="dxa" w:w="1045"/>
          </w:tcPr>
          <w:p>
            <w:pPr>
              <w:spacing w:line="240" w:lineRule="auto"/>
            </w:pPr>
            <w:r>
              <w:rPr>
                <w:sz w:val="16"/>
              </w:rPr>
            </w:r>
            <w:r>
              <w:rPr>
                <w:sz w:val="16"/>
              </w:rPr>
              <w:t>37.6</w:t>
            </w:r>
          </w:p>
        </w:tc>
        <w:tc>
          <w:tcPr>
            <w:tcW w:type="dxa" w:w="1045"/>
          </w:tcPr>
          <w:p>
            <w:pPr>
              <w:spacing w:line="240" w:lineRule="auto"/>
            </w:pPr>
            <w:r>
              <w:rPr>
                <w:sz w:val="16"/>
              </w:rPr>
            </w:r>
            <w:r>
              <w:rPr>
                <w:sz w:val="16"/>
              </w:rPr>
              <w:t>0.0</w:t>
            </w:r>
          </w:p>
        </w:tc>
      </w:tr>
      <w:tr>
        <w:tc>
          <w:tcPr>
            <w:tcW w:type="dxa" w:w="1045"/>
          </w:tcPr>
          <w:p>
            <w:pPr>
              <w:spacing w:line="240" w:lineRule="auto"/>
            </w:pPr>
            <w:r>
              <w:rPr>
                <w:sz w:val="16"/>
              </w:rPr>
            </w:r>
            <w:r>
              <w:rPr>
                <w:sz w:val="16"/>
              </w:rPr>
              <w:t>plateau near τ (0.945 → 0.952)</w:t>
            </w:r>
          </w:p>
        </w:tc>
        <w:tc>
          <w:tcPr>
            <w:tcW w:type="dxa" w:w="1045"/>
          </w:tcPr>
          <w:p>
            <w:pPr>
              <w:spacing w:line="240" w:lineRule="auto"/>
            </w:pPr>
            <w:r>
              <w:rPr>
                <w:sz w:val="16"/>
              </w:rPr>
            </w:r>
            <w:r>
              <w:rPr>
                <w:sz w:val="16"/>
              </w:rPr>
              <w:t>45</w:t>
            </w:r>
          </w:p>
        </w:tc>
        <w:tc>
          <w:tcPr>
            <w:tcW w:type="dxa" w:w="1045"/>
          </w:tcPr>
          <w:p>
            <w:pPr>
              <w:spacing w:line="240" w:lineRule="auto"/>
            </w:pPr>
            <w:r>
              <w:rPr>
                <w:sz w:val="16"/>
              </w:rPr>
            </w:r>
            <w:r>
              <w:rPr>
                <w:sz w:val="16"/>
              </w:rPr>
              <w:t>54.6</w:t>
            </w:r>
          </w:p>
        </w:tc>
        <w:tc>
          <w:tcPr>
            <w:tcW w:type="dxa" w:w="1045"/>
          </w:tcPr>
          <w:p>
            <w:pPr>
              <w:spacing w:line="240" w:lineRule="auto"/>
            </w:pPr>
            <w:r>
              <w:rPr>
                <w:sz w:val="16"/>
              </w:rPr>
            </w:r>
            <w:r>
              <w:rPr>
                <w:sz w:val="16"/>
              </w:rPr>
              <w:t>71.2</w:t>
            </w:r>
          </w:p>
        </w:tc>
        <w:tc>
          <w:tcPr>
            <w:tcW w:type="dxa" w:w="1045"/>
          </w:tcPr>
          <w:p>
            <w:pPr>
              <w:spacing w:line="240" w:lineRule="auto"/>
            </w:pPr>
            <w:r>
              <w:rPr>
                <w:sz w:val="16"/>
              </w:rPr>
            </w:r>
            <w:r>
              <w:rPr>
                <w:sz w:val="16"/>
              </w:rPr>
              <w:t>89.2</w:t>
            </w:r>
          </w:p>
        </w:tc>
        <w:tc>
          <w:tcPr>
            <w:tcW w:type="dxa" w:w="1045"/>
          </w:tcPr>
          <w:p>
            <w:pPr>
              <w:spacing w:line="240" w:lineRule="auto"/>
            </w:pPr>
            <w:r>
              <w:rPr>
                <w:sz w:val="16"/>
              </w:rPr>
            </w:r>
            <w:r>
              <w:rPr>
                <w:sz w:val="16"/>
              </w:rPr>
              <w:t>27.8</w:t>
            </w:r>
          </w:p>
        </w:tc>
        <w:tc>
          <w:tcPr>
            <w:tcW w:type="dxa" w:w="1045"/>
          </w:tcPr>
          <w:p>
            <w:pPr>
              <w:spacing w:line="240" w:lineRule="auto"/>
            </w:pPr>
            <w:r>
              <w:rPr>
                <w:sz w:val="16"/>
              </w:rPr>
            </w:r>
            <w:r>
              <w:rPr>
                <w:sz w:val="16"/>
              </w:rPr>
              <w:t>15.6</w:t>
            </w:r>
          </w:p>
        </w:tc>
        <w:tc>
          <w:tcPr>
            <w:tcW w:type="dxa" w:w="1045"/>
          </w:tcPr>
          <w:p>
            <w:pPr>
              <w:spacing w:line="240" w:lineRule="auto"/>
            </w:pPr>
            <w:r>
              <w:rPr>
                <w:sz w:val="16"/>
              </w:rPr>
            </w:r>
            <w:r>
              <w:rPr>
                <w:sz w:val="16"/>
              </w:rPr>
              <w:t>46.3</w:t>
            </w:r>
          </w:p>
        </w:tc>
        <w:tc>
          <w:tcPr>
            <w:tcW w:type="dxa" w:w="1045"/>
          </w:tcPr>
          <w:p>
            <w:pPr>
              <w:spacing w:line="240" w:lineRule="auto"/>
            </w:pPr>
            <w:r>
              <w:rPr>
                <w:sz w:val="16"/>
              </w:rPr>
            </w:r>
            <w:r>
              <w:rPr>
                <w:sz w:val="16"/>
              </w:rPr>
              <w:t>9.7</w:t>
            </w:r>
          </w:p>
        </w:tc>
      </w:tr>
      <w:tr>
        <w:tc>
          <w:tcPr>
            <w:tcW w:type="dxa" w:w="1045"/>
          </w:tcPr>
          <w:p>
            <w:pPr>
              <w:spacing w:line="240" w:lineRule="auto"/>
            </w:pPr>
            <w:r>
              <w:rPr>
                <w:sz w:val="16"/>
              </w:rPr>
            </w:r>
            <w:r>
              <w:rPr>
                <w:sz w:val="16"/>
              </w:rPr>
              <w:t>ramp (+0.006 per rung through τ)</w:t>
            </w:r>
          </w:p>
        </w:tc>
        <w:tc>
          <w:tcPr>
            <w:tcW w:type="dxa" w:w="1045"/>
          </w:tcPr>
          <w:p>
            <w:pPr>
              <w:spacing w:line="240" w:lineRule="auto"/>
            </w:pPr>
            <w:r>
              <w:rPr>
                <w:sz w:val="16"/>
              </w:rPr>
            </w:r>
            <w:r>
              <w:rPr>
                <w:sz w:val="16"/>
              </w:rPr>
              <w:t>45</w:t>
            </w:r>
          </w:p>
        </w:tc>
        <w:tc>
          <w:tcPr>
            <w:tcW w:type="dxa" w:w="1045"/>
          </w:tcPr>
          <w:p>
            <w:pPr>
              <w:spacing w:line="240" w:lineRule="auto"/>
            </w:pPr>
            <w:r>
              <w:rPr>
                <w:sz w:val="16"/>
              </w:rPr>
            </w:r>
            <w:r>
              <w:rPr>
                <w:sz w:val="16"/>
              </w:rPr>
              <w:t>56.1</w:t>
            </w:r>
          </w:p>
        </w:tc>
        <w:tc>
          <w:tcPr>
            <w:tcW w:type="dxa" w:w="1045"/>
          </w:tcPr>
          <w:p>
            <w:pPr>
              <w:spacing w:line="240" w:lineRule="auto"/>
            </w:pPr>
            <w:r>
              <w:rPr>
                <w:sz w:val="16"/>
              </w:rPr>
            </w:r>
            <w:r>
              <w:rPr>
                <w:sz w:val="16"/>
              </w:rPr>
              <w:t>71.0</w:t>
            </w:r>
          </w:p>
        </w:tc>
        <w:tc>
          <w:tcPr>
            <w:tcW w:type="dxa" w:w="1045"/>
          </w:tcPr>
          <w:p>
            <w:pPr>
              <w:spacing w:line="240" w:lineRule="auto"/>
            </w:pPr>
            <w:r>
              <w:rPr>
                <w:sz w:val="16"/>
              </w:rPr>
            </w:r>
            <w:r>
              <w:rPr>
                <w:sz w:val="16"/>
              </w:rPr>
              <w:t>89.2</w:t>
            </w:r>
          </w:p>
        </w:tc>
        <w:tc>
          <w:tcPr>
            <w:tcW w:type="dxa" w:w="1045"/>
          </w:tcPr>
          <w:p>
            <w:pPr>
              <w:spacing w:line="240" w:lineRule="auto"/>
            </w:pPr>
            <w:r>
              <w:rPr>
                <w:sz w:val="16"/>
              </w:rPr>
            </w:r>
            <w:r>
              <w:rPr>
                <w:sz w:val="16"/>
              </w:rPr>
              <w:t>28.1</w:t>
            </w:r>
          </w:p>
        </w:tc>
        <w:tc>
          <w:tcPr>
            <w:tcW w:type="dxa" w:w="1045"/>
          </w:tcPr>
          <w:p>
            <w:pPr>
              <w:spacing w:line="240" w:lineRule="auto"/>
            </w:pPr>
            <w:r>
              <w:rPr>
                <w:sz w:val="16"/>
              </w:rPr>
            </w:r>
            <w:r>
              <w:rPr>
                <w:sz w:val="16"/>
              </w:rPr>
              <w:t>14.9</w:t>
            </w:r>
          </w:p>
        </w:tc>
        <w:tc>
          <w:tcPr>
            <w:tcW w:type="dxa" w:w="1045"/>
          </w:tcPr>
          <w:p>
            <w:pPr>
              <w:spacing w:line="240" w:lineRule="auto"/>
            </w:pPr>
            <w:r>
              <w:rPr>
                <w:sz w:val="16"/>
              </w:rPr>
            </w:r>
            <w:r>
              <w:rPr>
                <w:sz w:val="16"/>
              </w:rPr>
              <w:t>48.6</w:t>
            </w:r>
          </w:p>
        </w:tc>
        <w:tc>
          <w:tcPr>
            <w:tcW w:type="dxa" w:w="1045"/>
          </w:tcPr>
          <w:p>
            <w:pPr>
              <w:spacing w:line="240" w:lineRule="auto"/>
            </w:pPr>
            <w:r>
              <w:rPr>
                <w:sz w:val="16"/>
              </w:rPr>
            </w:r>
            <w:r>
              <w:rPr>
                <w:sz w:val="16"/>
              </w:rPr>
              <w:t>9.3</w:t>
            </w:r>
          </w:p>
        </w:tc>
      </w:tr>
      <w:tr>
        <w:tc>
          <w:tcPr>
            <w:tcW w:type="dxa" w:w="1045"/>
          </w:tcPr>
          <w:p>
            <w:pPr>
              <w:spacing w:line="240" w:lineRule="auto"/>
            </w:pPr>
            <w:r>
              <w:rPr>
                <w:sz w:val="16"/>
              </w:rPr>
            </w:r>
            <w:r>
              <w:rPr>
                <w:sz w:val="16"/>
              </w:rPr>
              <w:t>step (0.90 → 0.97)</w:t>
            </w:r>
          </w:p>
        </w:tc>
        <w:tc>
          <w:tcPr>
            <w:tcW w:type="dxa" w:w="1045"/>
          </w:tcPr>
          <w:p>
            <w:pPr>
              <w:spacing w:line="240" w:lineRule="auto"/>
            </w:pPr>
            <w:r>
              <w:rPr>
                <w:sz w:val="16"/>
              </w:rPr>
            </w:r>
            <w:r>
              <w:rPr>
                <w:sz w:val="16"/>
              </w:rPr>
              <w:t>45</w:t>
            </w:r>
          </w:p>
        </w:tc>
        <w:tc>
          <w:tcPr>
            <w:tcW w:type="dxa" w:w="1045"/>
          </w:tcPr>
          <w:p>
            <w:pPr>
              <w:spacing w:line="240" w:lineRule="auto"/>
            </w:pPr>
            <w:r>
              <w:rPr>
                <w:sz w:val="16"/>
              </w:rPr>
            </w:r>
            <w:r>
              <w:rPr>
                <w:sz w:val="16"/>
              </w:rPr>
              <w:t>98.0</w:t>
            </w:r>
          </w:p>
        </w:tc>
        <w:tc>
          <w:tcPr>
            <w:tcW w:type="dxa" w:w="1045"/>
          </w:tcPr>
          <w:p>
            <w:pPr>
              <w:spacing w:line="240" w:lineRule="auto"/>
            </w:pPr>
            <w:r>
              <w:rPr>
                <w:sz w:val="16"/>
              </w:rPr>
            </w:r>
            <w:r>
              <w:rPr>
                <w:sz w:val="16"/>
              </w:rPr>
              <w:t>99.0</w:t>
            </w:r>
          </w:p>
        </w:tc>
        <w:tc>
          <w:tcPr>
            <w:tcW w:type="dxa" w:w="1045"/>
          </w:tcPr>
          <w:p>
            <w:pPr>
              <w:spacing w:line="240" w:lineRule="auto"/>
            </w:pPr>
            <w:r>
              <w:rPr>
                <w:sz w:val="16"/>
              </w:rPr>
            </w:r>
            <w:r>
              <w:rPr>
                <w:sz w:val="16"/>
              </w:rPr>
              <w:t>99.9</w:t>
            </w:r>
          </w:p>
        </w:tc>
        <w:tc>
          <w:tcPr>
            <w:tcW w:type="dxa" w:w="1045"/>
          </w:tcPr>
          <w:p>
            <w:pPr>
              <w:spacing w:line="240" w:lineRule="auto"/>
            </w:pPr>
            <w:r>
              <w:rPr>
                <w:sz w:val="16"/>
              </w:rPr>
            </w:r>
            <w:r>
              <w:rPr>
                <w:sz w:val="16"/>
              </w:rPr>
              <w:t>26.7</w:t>
            </w:r>
          </w:p>
        </w:tc>
        <w:tc>
          <w:tcPr>
            <w:tcW w:type="dxa" w:w="1045"/>
          </w:tcPr>
          <w:p>
            <w:pPr>
              <w:spacing w:line="240" w:lineRule="auto"/>
            </w:pPr>
            <w:r>
              <w:rPr>
                <w:sz w:val="16"/>
              </w:rPr>
            </w:r>
            <w:r>
              <w:rPr>
                <w:sz w:val="16"/>
              </w:rPr>
              <w:t>25.9</w:t>
            </w:r>
          </w:p>
        </w:tc>
        <w:tc>
          <w:tcPr>
            <w:tcW w:type="dxa" w:w="1045"/>
          </w:tcPr>
          <w:p>
            <w:pPr>
              <w:spacing w:line="240" w:lineRule="auto"/>
            </w:pPr>
            <w:r>
              <w:rPr>
                <w:sz w:val="16"/>
              </w:rPr>
            </w:r>
            <w:r>
              <w:rPr>
                <w:sz w:val="16"/>
              </w:rPr>
              <w:t>29.1</w:t>
            </w:r>
          </w:p>
        </w:tc>
        <w:tc>
          <w:tcPr>
            <w:tcW w:type="dxa" w:w="1045"/>
          </w:tcPr>
          <w:p>
            <w:pPr>
              <w:spacing w:line="240" w:lineRule="auto"/>
            </w:pPr>
            <w:r>
              <w:rPr>
                <w:sz w:val="16"/>
              </w:rPr>
            </w:r>
            <w:r>
              <w:rPr>
                <w:sz w:val="16"/>
              </w:rPr>
              <w:t>25.9</w:t>
            </w:r>
          </w:p>
        </w:tc>
      </w:tr>
    </w:tbl>
    <w:p/>
    <w:p>
      <w:r>
        <w:t>By window offset (h* = 3 and 6, where every offset is realisable without floor clipping):</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Pr>
                <w:sz w:val="16"/>
              </w:rPr>
            </w:r>
            <w:r>
              <w:rPr>
                <w:sz w:val="16"/>
              </w:rPr>
              <w:t>window centre − true h*</w:t>
            </w:r>
          </w:p>
        </w:tc>
        <w:tc>
          <w:tcPr>
            <w:tcW w:type="dxa" w:w="1344"/>
          </w:tcPr>
          <w:p>
            <w:pPr>
              <w:spacing w:line="240" w:lineRule="auto"/>
            </w:pPr>
            <w:r>
              <w:rPr>
                <w:sz w:val="16"/>
              </w:rPr>
            </w:r>
            <w:r>
              <w:rPr>
                <w:sz w:val="16"/>
              </w:rPr>
              <w:t>configurations</w:t>
            </w:r>
          </w:p>
        </w:tc>
        <w:tc>
          <w:tcPr>
            <w:tcW w:type="dxa" w:w="1344"/>
          </w:tcPr>
          <w:p>
            <w:pPr>
              <w:spacing w:line="240" w:lineRule="auto"/>
            </w:pPr>
            <w:r>
              <w:rPr>
                <w:sz w:val="16"/>
              </w:rPr>
            </w:r>
            <w:r>
              <w:rPr>
                <w:sz w:val="16"/>
              </w:rPr>
              <w:t>coverage, conditional (%)</w:t>
            </w:r>
          </w:p>
        </w:tc>
        <w:tc>
          <w:tcPr>
            <w:tcW w:type="dxa" w:w="1344"/>
          </w:tcPr>
          <w:p>
            <w:pPr>
              <w:spacing w:line="240" w:lineRule="auto"/>
            </w:pPr>
            <w:r>
              <w:rPr>
                <w:sz w:val="16"/>
              </w:rPr>
            </w:r>
            <w:r>
              <w:rPr>
                <w:sz w:val="16"/>
              </w:rPr>
              <w:t>coverage, censoring (%)</w:t>
            </w:r>
          </w:p>
        </w:tc>
        <w:tc>
          <w:tcPr>
            <w:tcW w:type="dxa" w:w="1344"/>
          </w:tcPr>
          <w:p>
            <w:pPr>
              <w:spacing w:line="240" w:lineRule="auto"/>
            </w:pPr>
            <w:r>
              <w:rPr>
                <w:sz w:val="16"/>
              </w:rPr>
            </w:r>
            <w:r>
              <w:rPr>
                <w:sz w:val="16"/>
              </w:rPr>
              <w:t>singleton (%)</w:t>
            </w:r>
          </w:p>
        </w:tc>
        <w:tc>
          <w:tcPr>
            <w:tcW w:type="dxa" w:w="1344"/>
          </w:tcPr>
          <w:p>
            <w:pPr>
              <w:spacing w:line="240" w:lineRule="auto"/>
            </w:pPr>
            <w:r>
              <w:rPr>
                <w:sz w:val="16"/>
              </w:rPr>
            </w:r>
            <w:r>
              <w:rPr>
                <w:sz w:val="16"/>
              </w:rPr>
              <w:t>singleton and correct (%)</w:t>
            </w:r>
          </w:p>
        </w:tc>
        <w:tc>
          <w:tcPr>
            <w:tcW w:type="dxa" w:w="1344"/>
          </w:tcPr>
          <w:p>
            <w:pPr>
              <w:spacing w:line="240" w:lineRule="auto"/>
            </w:pPr>
            <w:r>
              <w:rPr>
                <w:sz w:val="16"/>
              </w:rPr>
            </w:r>
            <w:r>
              <w:rPr>
                <w:sz w:val="16"/>
              </w:rPr>
              <w:t>old rule located and correct (%)</w:t>
            </w:r>
          </w:p>
        </w:tc>
      </w:tr>
      <w:tr>
        <w:tc>
          <w:tcPr>
            <w:tcW w:type="dxa" w:w="1344"/>
          </w:tcPr>
          <w:p>
            <w:pPr>
              <w:spacing w:line="240" w:lineRule="auto"/>
            </w:pPr>
            <w:r>
              <w:rPr>
                <w:sz w:val="16"/>
              </w:rPr>
            </w:r>
            <w:r>
              <w:rPr>
                <w:sz w:val="16"/>
              </w:rPr>
              <w:t>+0</w:t>
            </w:r>
          </w:p>
        </w:tc>
        <w:tc>
          <w:tcPr>
            <w:tcW w:type="dxa" w:w="1344"/>
          </w:tcPr>
          <w:p>
            <w:pPr>
              <w:spacing w:line="240" w:lineRule="auto"/>
            </w:pPr>
            <w:r>
              <w:rPr>
                <w:sz w:val="16"/>
              </w:rPr>
            </w:r>
            <w:r>
              <w:rPr>
                <w:sz w:val="16"/>
              </w:rPr>
              <w:t>24</w:t>
            </w:r>
          </w:p>
        </w:tc>
        <w:tc>
          <w:tcPr>
            <w:tcW w:type="dxa" w:w="1344"/>
          </w:tcPr>
          <w:p>
            <w:pPr>
              <w:spacing w:line="240" w:lineRule="auto"/>
            </w:pPr>
            <w:r>
              <w:rPr>
                <w:sz w:val="16"/>
              </w:rPr>
            </w:r>
            <w:r>
              <w:rPr>
                <w:sz w:val="16"/>
              </w:rPr>
              <w:t>66.3</w:t>
            </w:r>
          </w:p>
        </w:tc>
        <w:tc>
          <w:tcPr>
            <w:tcW w:type="dxa" w:w="1344"/>
          </w:tcPr>
          <w:p>
            <w:pPr>
              <w:spacing w:line="240" w:lineRule="auto"/>
            </w:pPr>
            <w:r>
              <w:rPr>
                <w:sz w:val="16"/>
              </w:rPr>
            </w:r>
            <w:r>
              <w:rPr>
                <w:sz w:val="16"/>
              </w:rPr>
              <w:t>78.1</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66.3</w:t>
            </w:r>
          </w:p>
        </w:tc>
      </w:tr>
      <w:tr>
        <w:tc>
          <w:tcPr>
            <w:tcW w:type="dxa" w:w="1344"/>
          </w:tcPr>
          <w:p>
            <w:pPr>
              <w:spacing w:line="240" w:lineRule="auto"/>
            </w:pPr>
            <w:r>
              <w:rPr>
                <w:sz w:val="16"/>
              </w:rPr>
            </w:r>
            <w:r>
              <w:rPr>
                <w:sz w:val="16"/>
              </w:rPr>
              <w:t>+1</w:t>
            </w:r>
          </w:p>
        </w:tc>
        <w:tc>
          <w:tcPr>
            <w:tcW w:type="dxa" w:w="1344"/>
          </w:tcPr>
          <w:p>
            <w:pPr>
              <w:spacing w:line="240" w:lineRule="auto"/>
            </w:pPr>
            <w:r>
              <w:rPr>
                <w:sz w:val="16"/>
              </w:rPr>
            </w:r>
            <w:r>
              <w:rPr>
                <w:sz w:val="16"/>
              </w:rPr>
              <w:t>24</w:t>
            </w:r>
          </w:p>
        </w:tc>
        <w:tc>
          <w:tcPr>
            <w:tcW w:type="dxa" w:w="1344"/>
          </w:tcPr>
          <w:p>
            <w:pPr>
              <w:spacing w:line="240" w:lineRule="auto"/>
            </w:pPr>
            <w:r>
              <w:rPr>
                <w:sz w:val="16"/>
              </w:rPr>
            </w:r>
            <w:r>
              <w:rPr>
                <w:sz w:val="16"/>
              </w:rPr>
              <w:t>77.2</w:t>
            </w:r>
          </w:p>
        </w:tc>
        <w:tc>
          <w:tcPr>
            <w:tcW w:type="dxa" w:w="1344"/>
          </w:tcPr>
          <w:p>
            <w:pPr>
              <w:spacing w:line="240" w:lineRule="auto"/>
            </w:pPr>
            <w:r>
              <w:rPr>
                <w:sz w:val="16"/>
              </w:rPr>
            </w:r>
            <w:r>
              <w:rPr>
                <w:sz w:val="16"/>
              </w:rPr>
              <w:t>83.0</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0.0</w:t>
            </w:r>
          </w:p>
        </w:tc>
      </w:tr>
      <w:tr>
        <w:tc>
          <w:tcPr>
            <w:tcW w:type="dxa" w:w="1344"/>
          </w:tcPr>
          <w:p>
            <w:pPr>
              <w:spacing w:line="240" w:lineRule="auto"/>
            </w:pPr>
            <w:r>
              <w:rPr>
                <w:sz w:val="16"/>
              </w:rPr>
            </w:r>
            <w:r>
              <w:rPr>
                <w:sz w:val="16"/>
              </w:rPr>
              <w:t>+2</w:t>
            </w:r>
          </w:p>
        </w:tc>
        <w:tc>
          <w:tcPr>
            <w:tcW w:type="dxa" w:w="1344"/>
          </w:tcPr>
          <w:p>
            <w:pPr>
              <w:spacing w:line="240" w:lineRule="auto"/>
            </w:pPr>
            <w:r>
              <w:rPr>
                <w:sz w:val="16"/>
              </w:rPr>
            </w:r>
            <w:r>
              <w:rPr>
                <w:sz w:val="16"/>
              </w:rPr>
              <w:t>24</w:t>
            </w:r>
          </w:p>
        </w:tc>
        <w:tc>
          <w:tcPr>
            <w:tcW w:type="dxa" w:w="1344"/>
          </w:tcPr>
          <w:p>
            <w:pPr>
              <w:spacing w:line="240" w:lineRule="auto"/>
            </w:pPr>
            <w:r>
              <w:rPr>
                <w:sz w:val="16"/>
              </w:rPr>
            </w:r>
            <w:r>
              <w:rPr>
                <w:sz w:val="16"/>
              </w:rPr>
              <w:t>100.0</w:t>
            </w:r>
          </w:p>
        </w:tc>
        <w:tc>
          <w:tcPr>
            <w:tcW w:type="dxa" w:w="1344"/>
          </w:tcPr>
          <w:p>
            <w:pPr>
              <w:spacing w:line="240" w:lineRule="auto"/>
            </w:pPr>
            <w:r>
              <w:rPr>
                <w:sz w:val="16"/>
              </w:rPr>
            </w:r>
            <w:r>
              <w:rPr>
                <w:sz w:val="16"/>
              </w:rPr>
              <w:t>100.0</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0.0</w:t>
            </w:r>
          </w:p>
        </w:tc>
        <w:tc>
          <w:tcPr>
            <w:tcW w:type="dxa" w:w="1344"/>
          </w:tcPr>
          <w:p>
            <w:pPr>
              <w:spacing w:line="240" w:lineRule="auto"/>
            </w:pPr>
            <w:r>
              <w:rPr>
                <w:sz w:val="16"/>
              </w:rPr>
            </w:r>
            <w:r>
              <w:rPr>
                <w:sz w:val="16"/>
              </w:rPr>
              <w:t>0.0</w:t>
            </w:r>
          </w:p>
        </w:tc>
      </w:tr>
    </w:tbl>
    <w:p/>
    <w:p>
      <w:r>
        <w:t>Designed generator curves on h = 0–12, true first attainment h* ∈ {0, 3, 6}, three-rung windows centred at h* + offset, n = 300 per rung, censoring shares 0, 0.02 and 0.10, 2000 replications per configuration (seed 20260920); means over configurations with equal weight. Coverage = the true first attainment lies in the completion set (for the never-attaining curve: nonattainment kept possible). Readers are imported unchanged from the sealed erratum and from the v0.3 map reader. Designed curves are not ward populations and the frozen generator was not run.</w:t>
      </w:r>
    </w:p>
    <w:p>
      <w:r>
        <w:t>When the designed rates sit well away from τ (step and dip-after-attainment curves) the conditional completion set contains the true first attainment in 98.0% and 97.9% of batches; the misses are attaining rungs whose observed rate fell below τ by sampling. When every rung lies within one standard error of τ (plateau 54.6%, ramp 56.1%) or the curve never attains (42.0%), conditional coverage collapses, because a rate observed on the wrong side of τ is read as certain. The censoring band recovers part of it only when censoring is present (71.2% and 76.0% overall), and the ± 1/100 widening reaches 89.2% and 91.8%, at the cost of larger sets. Singletons arise only when the window reaches the floor, so that no lower rung is left unobserved — here the h* = 0 configurations and the windows centred two rungs below h* = 3; averaged over all configurations that is roughly one batch in four for every attaining curve. On the step curve a singleton names the true rung 97.1% of the time, on the plateau curve 56.1%. The offset rows (h* = 3 and 6, where every offset is realisable without floor clipping) show the mechanism: a window centred two rungs below the truth yields a singleton in 16.8% of batches and that singleton is correct in 0.0% of them, because it can only arise from a below-τ rung observed above τ; a window centred two rungs above the truth is always covered (100.0%) and never a singleton (0.0%), because the lower rungs are unobserved. Under 10% censoring the censoring band's coverage rises to 92.4% while its singleton rate falls to 0.0%. The v0.3 local rule locates a rung in 29.1% of step batches and, when it does, names the true one 88.8% of the time; on the plateau curve the located rung is correct 20.9% of the time.</w:t>
      </w:r>
    </w:p>
    <w:p>
      <w:r>
        <w:t>These numbers quantify, for designed curves only, the gap that §2.6 states in words: the completion set is complete for the observed rates and is not a confidence set for the generator rates. They do not transfer to the frozen generator, to the already examined Stage D conditions, or to any ward population, and they do not license a coverage statement for Table 4.</w:t>
      </w:r>
    </w:p>
    <w:p>
      <w:pPr>
        <w:pStyle w:val="Heading2"/>
      </w:pPr>
      <w:r>
        <w:t>S5. Phase 2 — discussion (verbatim)</w:t>
      </w:r>
    </w:p>
    <w:p>
      <w:pPr>
        <w:pStyle w:val="Heading3"/>
      </w:pPr>
      <w:r>
        <w:t>4. Discussion</w:t>
      </w:r>
    </w:p>
    <w:p>
      <w:pPr>
        <w:pStyle w:val="Heading3"/>
      </w:pPr>
      <w:r>
        <w:t>4.1 Scientific contribution</w:t>
      </w:r>
    </w:p>
    <w:p>
      <w:r>
        <w:t>The contribution of this paper is a reproducible computational experiment, under a published hard-rule specification, that records finite-batch feasibility along headcount stairs and then states, without over-claim, what those records can identify. Arithmetic N₀ remains a solver-free counting floor. Finite-batch F/I/T counts remain machine-checked observations. The completion-set reader converts those observations into conservative possibility sets that keep holes, unbounded tails and absent minima. That is a methodological result about identification in synthetic rostering measurement. It is not a validated staffing formula, and it is not a demonstration that a five-term regression outperforms a multiplier on a population of wards.</w:t>
      </w:r>
    </w:p>
    <w:p>
      <w:r>
        <w:t>Narrowing the claim is itself the correction. A local crossing on a three-rung window, a first observed attainment in a finite batch, and a global minimum of a generator probability are three objects. The campaign records the first two; the descriptive correction does not establish the third. Incompleteness of finite-batch first-attainment sets and uncertainty about a generator probability are separate limitations. Making that distinction explicit is the scientific service of v0.4.</w:t>
      </w:r>
    </w:p>
    <w:p>
      <w:pPr>
        <w:pStyle w:val="Heading3"/>
      </w:pPr>
      <w:r>
        <w:t>4.2 Synthetic-design assumptions</w:t>
      </w:r>
    </w:p>
    <w:p>
      <w:r>
        <w:t>Results hold for the frozen generator, the published rule contract, the inherited time ladder, banked prior-month tails, a 30-day month, one manager, full-time staff, and the eight-axis box. The nested and decouple arms are stylised composition paths, not ward populations. W is an externally specified daily demand total, not an estimated workload. Headcount is an integer roster size, not FTE and not a patient-safety threshold. Domain h ≥ 0 inherits the compiler's N₀ premise; unprobed admissibility is not proved. Within-cell tail sharing introduces a shared input; Wilson intervals do not propagate tail-bank uncertainty. Map and Stage C sampling is outcome-adaptive. Stage D conditions are the next prefix of a fixed Sobol sequence, not a random draw from real wards. The generator probability is not a clinical event probability. Real-ward studies fit one hospital's nurse profiles, requests and forecast demand over a few months — for example the 60-nurse, five-month surgical-ward case of Zhang, Tang and Lau (2025) — whereas this campaign sweeps a synthetic eight-axis box with a frozen generator; neither design stands in for the other. Supply-side uncertainty such as absence is outside the frozen generator, as it is a stated extension in that demand-uncertainty literature (Zhang, Tang and Lau, 2025). None of these assumptions is hidden, and none of them is removed by re-reading the counts.</w:t>
      </w:r>
    </w:p>
    <w:p>
      <w:pPr>
        <w:pStyle w:val="Heading3"/>
      </w:pPr>
      <w:r>
        <w:t>4.3 Verification strengths</w:t>
      </w:r>
    </w:p>
    <w:p>
      <w:r>
        <w:t>Within audited scope the campaign is strong as computation. The rule specification is independent of the product code and is re-derived by an extractor that fails on disagreement. Gate A reproduced all 4,050 sealed Paper-1 model fingerprints. Differential verification accepted the positive controls and caught the negative-control mutations at the recorded counts (§2.12). Terminal E is fail-closed and was never observed. Censoring is recorded and is not imputed. N₀ is computed without a solver and is inherited as a working-domain premise; the absence of recorded F below it is a consistency check. Stage gates are mechanical. Tables in this file are bound to artefacts by generated blocks rather than by hand transcription of current results. Those strengths support a descriptive computational paper. They do not promote finite-batch labels into population minima.</w:t>
      </w:r>
    </w:p>
    <w:p>
      <w:pPr>
        <w:pStyle w:val="Heading3"/>
      </w:pPr>
      <w:r>
        <w:t>4.4 Prior failed anchors</w:t>
      </w:r>
    </w:p>
    <w:p>
      <w:r>
        <w:t>The programme did not enter this design by reproducing Paper 1. The two Anchor-002 attempts stopped under their pre-specified rules, with internally defined family-wise error 0.00274. Equivalence intervals in the second attempt satisfied the stated ±4 pp margins; zero inclusion is not failure of that criterion. Overall NO-GO remained because of the extra T = 0 gate. Re-application of Paper 1's Clopper–Pearson benchmark moved one cell label independently of T. No claim is made that Paper 1 was reproduced. Self-implementation reproduction inside this programme, plus the documented builder-hash difference bounded by Gate A, is what was achieved. That history is retained because failure to satisfy the full anchor-replication gate cannot be converted into external validation of a later staffing surface.</w:t>
      </w:r>
    </w:p>
    <w:p>
      <w:pPr>
        <w:pStyle w:val="Heading3"/>
      </w:pPr>
      <w:r>
        <w:t>4.5 Identification limits and superseded claims</w:t>
      </w:r>
    </w:p>
    <w:p>
      <w:r>
        <w:t>Nonmonotone observed rates, missing lower rungs and prediction-centred windows often leave more than one possible first attainment of the reported finite-batch rates. The completion sets display this descriptive ambiguity as holes, finite non-singleton sets and unbounded tails with possible nonattainment. A separate inferential argument would be required to draw conclusions about identification of the population H*(x; 0.95). Conditional q and the all-generated probability remain distinct; synthesized T stays inside the censoring band. Simultaneous confidence bands of the surface were not delivered, so this is not a population confidence analysis. The designed-truth check of §3.9 shows the size of that gap: coverage of the true first attainment is near-complete when rates sit well away from τ and falls to 54.6% (conditional) when every rung lies within one standard error of τ, the regime in which decided rates that already sit near the target move very little per added head (§3.8).</w:t>
      </w:r>
    </w:p>
    <w:p>
      <w:r>
        <w:t>Several v0.3 headlines are therefore superseded and are not primary current results. The claim that about 91% of the requirement is arithmetic and 9% combinatorial depended on invalid global labels and on surrogate outcomes; it is not established for global H*. The claim that the 1.6 multiplier missed a located floor on 96% of stairs mixed an arithmetic N₀ deficit with a boundary-dependent statement; the current primary comparison is the arithmetic count 351 (round) and 307 (ceil) versus N₀,  not a recycled 96% underestimation of H*. The claim of 67% general within-one-person accuracy for a five-term formula on holdout points does not survive: the reference sets have changed, the training labels are partly unsupported, the scored subset is a selected singleton collection, and M3 centred the window. Those historical percentages may be found in sealed v0.3; they are not restated here as findings.</w:t>
      </w:r>
    </w:p>
    <w:p>
      <w:r>
        <w:t>M1 is an unconstrained regression prediction. It is not a lower bound and not a staffing guarantee. M3's apparent hit rate is window-centred and is not proof of best predictive performance. Sobol ranks describe a GAM surrogate with h = 12 substitution after h = 11; they do not identify the variance decomposition of an unbounded or absent true minimum.</w:t>
      </w:r>
    </w:p>
    <w:p>
      <w:pPr>
        <w:pStyle w:val="Heading3"/>
      </w:pPr>
      <w:r>
        <w:t>4.6 Practical limitations and non-claims</w:t>
      </w:r>
    </w:p>
    <w:p>
      <w:r>
        <w:t>This study does not estimate safe, adequate, optimal or minimum staffing for any real ward. It does not estimate a legal standard, an FTE budget, or a patient-outcome threshold. It does not claim that any real ward's roster is infeasible at 1.6 × W. It does not claim that the frozen ladder is ready for use. It makes no algorithmic performance claim and its results are not comparable to rostering-benchmark scores. It does not claim external registration, complete blinding, or a new raw-record audit. It does not claim that re-scoring repaired M1/M2 training targets. It does not claim that already examined Stage D can serve as a fresh validation set after a future refit. Alternative predictors cannot be ranked as if they had equal availability. Fixed Sobol points do not generalise to a population of wards.</w:t>
      </w:r>
    </w:p>
    <w:p>
      <w:r>
        <w:t>The v0.3 "conditions of use" box that would have printed the five-term formula as a lower bound for a roster to exist is withdrawn. Frozen coefficients remain historical artefacts in the sealed ladder file. Printing them as a tool would over-claim the identification that this revision exists to retract.</w:t>
      </w:r>
    </w:p>
    <w:p>
      <w:pPr>
        <w:pStyle w:val="Heading3"/>
      </w:pPr>
      <w:r>
        <w:t>4.7 What the numbers look like on the multiplier scale</w:t>
      </w:r>
    </w:p>
    <w:p>
      <w:r>
        <w:t xml:space="preserve">Readers who arrive with the practical question — not 1.6, then what? — deserve a descriptive answer on the scale they use, with the same limits attached. Over the 540 promoted stairs (W = 12–27 people on duty per day), the solver-free arithmetic floor alone is N₀ / W = 1.67 × W at the median (interquartile 1.58–1.77, 90th percentile 1.84, range 1.46–1.93); that spread is produced deterministically by the night cap, the off-day entitlement, leave load and role coverage of each condition, which is why round(1.6 W) falls below the counting floor on 351 of 540 stairs (§3.5). On the 324 stairs where some observed rung reached τ conditionally, the first such rung was 1.79 × W at the median (interquartile 1.71–1.86, 90th percentile 1.92, range 1.54–2.18); on the remaining 216 stairs no rung inside the observed window reached τ, so the headcount that would is larger than the window and is not reported. Where attainment was observed it was at the floor itself on 173 of the 324 stairs and within three heads above it on 278, the largest observed premium being 9 heads. These are first </w:t>
      </w:r>
      <w:r>
        <w:rPr>
          <w:i/>
        </w:rPr>
        <w:t>observed</w:t>
      </w:r>
      <w:r>
        <w:t xml:space="preserve"> attainments of finite batches, not identified minima (§2.6, §3.2), inside one synthetic generator and one rule contract, and they describe the box, not any ward. What they do show is the shape of the answer: a single universal multiplier is the wrong object, because most of the variation is already fixed by counting a ward's own rules, with a combinatorial premium that was zero to three heads above that floor on most stairs where attainment was observed — and unobserved, hence larger than the window, on the rest. Turning that shape into a usable table — the multiplier as a function of rule parameters, measured on full stairs with cell sizes that resolve rates near τ, and checked against real wards — is the successor study, not a corollary of this one.</w:t>
      </w:r>
    </w:p>
    <w:p>
      <w:pPr>
        <w:pStyle w:val="Heading3"/>
      </w:pPr>
      <w:r>
        <w:t>4.8 Reproducibility</w:t>
      </w:r>
    </w:p>
    <w:p>
      <w:r>
        <w:t xml:space="preserve">The execution contract, freeze and report artefacts, descriptive and final-analysis artefacts (interim ones retained), the completion-set analysis of 2026-09-20, and the checkers that bind generated tables are in the study package. Per-evaluation records and the pinned rostering software source are retained institutionally and are not redistributed. The published rule specification allows a third party to pose the same feasibility problem to their own solver. Public repository URL: [TBD]. The dated SCIENTIFIC_ADDENDUM.txt is the historical measurement basis; its proposed title and statements that prose had not yet been inserted describe the earlier revision stage, not this manuscript. Current completion status and review disposition are recorded in revision_v04/final_review/. Reproduction of the identification correction is the erratum pipeline already run on the sealed hashes recorded in </w:t>
      </w:r>
      <w:r>
        <w:t>summary.json</w:t>
      </w:r>
      <w:r>
        <w:t>; scientific inputs and the erratum analysis remain unchanged. Publication generators, checkers and their tests were updated, with the permitted exceptions recorded in the preservation report. Verification remains self-implementation reproduction within this programme; no external party has audited the pipeline.</w:t>
      </w:r>
    </w:p>
    <w:sectPr w:rsidR="00FC693F" w:rsidRPr="0006063C" w:rsidSect="00034616">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맑은 고딕" w:hAnsi="맑은 고딕" w:eastAsia="맑은 고딕"/>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 v0.1</dc:title>
  <dc:subject>Supplementary material S1-S5 (verbatim sealed sections)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