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간호인력 연구 방법과 타당성 검토</w:t>
      </w:r>
    </w:p>
    <w:p>
      <w:pPr>
        <w:pStyle w:val="Subtitle"/>
      </w:pPr>
      <w:r>
        <w:t>송지수  |  2026년 9월 20일</w:t>
      </w:r>
    </w:p>
    <w:p>
      <w:r>
        <w:t>월간 근무표가 편성되는 데 필요한 인원을 합성 사례로 연구했습니다. 계산은 끝났지만, 관측한 일부 인원 구간의 성공 지점을 전체 범위의 최소 인원으로 해석한 문제를 발견했습니다. 수정 원고는 가능한 최소 인원의 집합과 자료의 한계를 명시합니다.</w:t>
      </w:r>
    </w:p>
    <w:p>
      <w:r>
        <w:t>기존의 예측모형 우월성, 산술 요인과 조합 요인의 확정적 비중, 실제 병동에 바로 적용할 인력 산식이라는 해석은 이번 자료로 입증되지 않았습니다. 이 보고서는 그 정정을 반영합니다.</w:t>
      </w:r>
    </w:p>
    <w:p>
      <w:pPr>
        <w:pStyle w:val="Heading1"/>
      </w:pPr>
      <w:r>
        <w:t>무엇을 계산했나</w:t>
      </w:r>
    </w:p>
    <w:p>
      <w:r>
        <w:t>하루에 필요한 근무 인원 W와 휴무·야간·이월 조건을 주면, 주어진 직원 수로 모든 하드 제약을 지키는 근무표가 존재하는지 계산합니다. W는 외부에서 주는 수요이며, 이 연구가 환자 수에서 적정 수요를 추정하는 것은 아닙니다. 직원 수와 연간 상근환산인력 FTE도 구분합니다.</w:t>
      </w:r>
    </w:p>
    <w:p>
      <w:r>
        <w:t>F는 편성 가능, I는 불가능이 증명된 경우, T는 제한 시간 내 결정되지 않은 경우입니다. T를 실패나 성공으로 임의 치환하지 않습니다. 성공 문턱은 기존 95%를 유지했습니다.</w:t>
      </w:r>
    </w:p>
    <w:p>
      <w:pPr>
        <w:pStyle w:val="Heading1"/>
      </w:pPr>
      <w:r>
        <w:t>세 가지 대상을 구분한다</w:t>
      </w:r>
    </w:p>
    <w:p>
      <w:r>
        <w:t>첫 관측 달성점, 인접한 하위 값은 미달이고 상위 값은 달성인 국소 교차점, 전역 최소값은 서로 다릅니다. h가 늘어도 표본 성공률은 단조 증가하지 않을 수 있으며, 관측창보다 작은 h가 빠져 있을 수 있습니다. 작업 영역 H=N0+h, h≥0은 기존 산술 하한 전제를 계승하며 모든 미관측 영역의 실현 가능성을 새로 증명한 것은 아닙니다.</w:t>
      </w:r>
    </w:p>
    <w:p>
      <w:r>
        <w:t>조건부 표본률은 F/(F+I)입니다. 전체 생성 사례에 대한 확률과 같다고 할 수 없습니다. T를 고려한 유한 표본의 가능 구간은 F/n부터 (F+T)/n까지이며 n=F+I+T입니다. 판정도 사례도 없는 칸은 [0,1]로 남깁니다.</w:t>
      </w:r>
    </w:p>
    <w:p>
      <w:r>
        <w:br w:type="page"/>
      </w:r>
    </w:p>
    <w:p>
      <w:pPr>
        <w:pStyle w:val="Heading1"/>
      </w:pPr>
      <w:r>
        <w:t>새 조건에서 확인한 범위</w:t>
      </w:r>
    </w:p>
    <w:p>
      <w:r>
        <w:t>Stage D는 64개 조건으로 설계됐습니다. 예측 구간을 정하지 못해 관측하지 않은 16개를 제외하고 48개를 계산했습니다. 아래 분모는 계산한 조건이며 전체 설계나 실제 병동 모집단으로 넓혀 읽을 수 없습니다.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361"/>
        <w:gridCol w:w="4649"/>
      </w:tblGrid>
      <w:tr>
        <w:trPr>
          <w:tblHeader/>
        </w:trPr>
        <w:tc>
          <w:tcPr>
            <w:tcW w:type="dxa" w:w="3402"/>
            <w:vAlign w:val="center"/>
            <w:tcMar>
              <w:top w:w="100" w:type="dxa"/>
              <w:left w:w="100" w:type="dxa"/>
              <w:bottom w:w="100" w:type="dxa"/>
              <w:right w:w="100" w:type="dxa"/>
            </w:tcMar>
            <w:shd w:fill="E5EDF1"/>
          </w:tcPr>
          <w:p>
            <w:pPr>
              <w:spacing w:after="60"/>
            </w:pPr>
            <w:r>
              <w:rPr>
                <w:b/>
                <w:sz w:val="20"/>
              </w:rPr>
              <w:t>최소 인원의 후보 집합</w:t>
            </w:r>
          </w:p>
        </w:tc>
        <w:tc>
          <w:tcPr>
            <w:tcW w:type="dxa" w:w="1361"/>
            <w:vAlign w:val="center"/>
            <w:tcMar>
              <w:top w:w="100" w:type="dxa"/>
              <w:left w:w="100" w:type="dxa"/>
              <w:bottom w:w="100" w:type="dxa"/>
              <w:right w:w="100" w:type="dxa"/>
            </w:tcMar>
            <w:shd w:fill="E5EDF1"/>
          </w:tcPr>
          <w:p>
            <w:pPr>
              <w:spacing w:after="60"/>
              <w:jc w:val="center"/>
            </w:pPr>
            <w:r>
              <w:rPr>
                <w:b/>
                <w:sz w:val="20"/>
              </w:rPr>
              <w:t>D 조건 수</w:t>
            </w:r>
          </w:p>
        </w:tc>
        <w:tc>
          <w:tcPr>
            <w:tcW w:type="dxa" w:w="4649"/>
            <w:vAlign w:val="center"/>
            <w:tcMar>
              <w:top w:w="100" w:type="dxa"/>
              <w:left w:w="100" w:type="dxa"/>
              <w:bottom w:w="100" w:type="dxa"/>
              <w:right w:w="100" w:type="dxa"/>
            </w:tcMar>
            <w:shd w:fill="E5EDF1"/>
          </w:tcPr>
          <w:p>
            <w:pPr>
              <w:spacing w:after="60"/>
            </w:pPr>
            <w:r>
              <w:rPr>
                <w:b/>
                <w:sz w:val="20"/>
              </w:rPr>
              <w:t>해석</w:t>
            </w:r>
          </w:p>
        </w:tc>
      </w:tr>
      <w:tr>
        <w:tc>
          <w:tcPr>
            <w:tcW w:type="dxa" w:w="3402"/>
            <w:vAlign w:val="center"/>
            <w:tcMar>
              <w:top w:w="100" w:type="dxa"/>
              <w:left w:w="100" w:type="dxa"/>
              <w:bottom w:w="100" w:type="dxa"/>
              <w:right w:w="100" w:type="dxa"/>
            </w:tcMar>
          </w:tcPr>
          <w:p>
            <w:pPr>
              <w:spacing w:after="60"/>
            </w:pPr>
            <w:r>
              <w:rPr>
                <w:b w:val="0"/>
                <w:sz w:val="20"/>
              </w:rPr>
              <w:t>하나의 값</w:t>
            </w:r>
          </w:p>
        </w:tc>
        <w:tc>
          <w:tcPr>
            <w:tcW w:type="dxa" w:w="1361"/>
            <w:vAlign w:val="center"/>
            <w:tcMar>
              <w:top w:w="100" w:type="dxa"/>
              <w:left w:w="100" w:type="dxa"/>
              <w:bottom w:w="100" w:type="dxa"/>
              <w:right w:w="100" w:type="dxa"/>
            </w:tcMar>
          </w:tcPr>
          <w:p>
            <w:pPr>
              <w:spacing w:after="60"/>
              <w:jc w:val="center"/>
            </w:pPr>
            <w:r>
              <w:rPr>
                <w:b w:val="0"/>
                <w:sz w:val="20"/>
              </w:rPr>
              <w:t>10</w:t>
            </w:r>
          </w:p>
        </w:tc>
        <w:tc>
          <w:tcPr>
            <w:tcW w:type="dxa" w:w="4649"/>
            <w:vAlign w:val="center"/>
            <w:tcMar>
              <w:top w:w="100" w:type="dxa"/>
              <w:left w:w="100" w:type="dxa"/>
              <w:bottom w:w="100" w:type="dxa"/>
              <w:right w:w="100" w:type="dxa"/>
            </w:tcMar>
          </w:tcPr>
          <w:p>
            <w:pPr>
              <w:spacing w:after="60"/>
            </w:pPr>
            <w:r>
              <w:rPr>
                <w:b w:val="0"/>
                <w:sz w:val="20"/>
              </w:rPr>
              <w:t>보고된 유한 표본률을 고정했을 때 후보가 하나</w:t>
            </w:r>
          </w:p>
        </w:tc>
      </w:tr>
      <w:tr>
        <w:tc>
          <w:tcPr>
            <w:tcW w:type="dxa" w:w="3402"/>
            <w:vAlign w:val="center"/>
            <w:tcMar>
              <w:top w:w="100" w:type="dxa"/>
              <w:left w:w="100" w:type="dxa"/>
              <w:bottom w:w="100" w:type="dxa"/>
              <w:right w:w="100" w:type="dxa"/>
            </w:tcMar>
          </w:tcPr>
          <w:p>
            <w:pPr>
              <w:spacing w:after="60"/>
            </w:pPr>
            <w:r>
              <w:rPr>
                <w:b w:val="0"/>
                <w:sz w:val="20"/>
              </w:rPr>
              <w:t>유한한 여러 값</w:t>
            </w:r>
          </w:p>
        </w:tc>
        <w:tc>
          <w:tcPr>
            <w:tcW w:type="dxa" w:w="1361"/>
            <w:vAlign w:val="center"/>
            <w:tcMar>
              <w:top w:w="100" w:type="dxa"/>
              <w:left w:w="100" w:type="dxa"/>
              <w:bottom w:w="100" w:type="dxa"/>
              <w:right w:w="100" w:type="dxa"/>
            </w:tcMar>
          </w:tcPr>
          <w:p>
            <w:pPr>
              <w:spacing w:after="60"/>
              <w:jc w:val="center"/>
            </w:pPr>
            <w:r>
              <w:rPr>
                <w:b w:val="0"/>
                <w:sz w:val="20"/>
              </w:rPr>
              <w:t>26</w:t>
            </w:r>
          </w:p>
        </w:tc>
        <w:tc>
          <w:tcPr>
            <w:tcW w:type="dxa" w:w="4649"/>
            <w:vAlign w:val="center"/>
            <w:tcMar>
              <w:top w:w="100" w:type="dxa"/>
              <w:left w:w="100" w:type="dxa"/>
              <w:bottom w:w="100" w:type="dxa"/>
              <w:right w:w="100" w:type="dxa"/>
            </w:tcMar>
          </w:tcPr>
          <w:p>
            <w:pPr>
              <w:spacing w:after="60"/>
            </w:pPr>
            <w:r>
              <w:rPr>
                <w:b w:val="0"/>
                <w:sz w:val="20"/>
              </w:rPr>
              <w:t>미관측 구간 등을 포함해 후보가 여럿</w:t>
            </w:r>
          </w:p>
        </w:tc>
      </w:tr>
      <w:tr>
        <w:tc>
          <w:tcPr>
            <w:tcW w:type="dxa" w:w="3402"/>
            <w:vAlign w:val="center"/>
            <w:tcMar>
              <w:top w:w="100" w:type="dxa"/>
              <w:left w:w="100" w:type="dxa"/>
              <w:bottom w:w="100" w:type="dxa"/>
              <w:right w:w="100" w:type="dxa"/>
            </w:tcMar>
          </w:tcPr>
          <w:p>
            <w:pPr>
              <w:spacing w:after="60"/>
            </w:pPr>
            <w:r>
              <w:rPr>
                <w:b w:val="0"/>
                <w:sz w:val="20"/>
              </w:rPr>
              <w:t>상한 미확정 또는 미도달</w:t>
            </w:r>
          </w:p>
        </w:tc>
        <w:tc>
          <w:tcPr>
            <w:tcW w:type="dxa" w:w="1361"/>
            <w:vAlign w:val="center"/>
            <w:tcMar>
              <w:top w:w="100" w:type="dxa"/>
              <w:left w:w="100" w:type="dxa"/>
              <w:bottom w:w="100" w:type="dxa"/>
              <w:right w:w="100" w:type="dxa"/>
            </w:tcMar>
          </w:tcPr>
          <w:p>
            <w:pPr>
              <w:spacing w:after="60"/>
              <w:jc w:val="center"/>
            </w:pPr>
            <w:r>
              <w:rPr>
                <w:b w:val="0"/>
                <w:sz w:val="20"/>
              </w:rPr>
              <w:t>12</w:t>
            </w:r>
          </w:p>
        </w:tc>
        <w:tc>
          <w:tcPr>
            <w:tcW w:type="dxa" w:w="4649"/>
            <w:vAlign w:val="center"/>
            <w:tcMar>
              <w:top w:w="100" w:type="dxa"/>
              <w:left w:w="100" w:type="dxa"/>
              <w:bottom w:w="100" w:type="dxa"/>
              <w:right w:w="100" w:type="dxa"/>
            </w:tcMar>
          </w:tcPr>
          <w:p>
            <w:pPr>
              <w:spacing w:after="60"/>
            </w:pPr>
            <w:r>
              <w:rPr>
                <w:b w:val="0"/>
                <w:sz w:val="20"/>
              </w:rPr>
              <w:t>더 큰 인원과 목표 미도달 가능성이 남음</w:t>
            </w:r>
          </w:p>
        </w:tc>
      </w:tr>
    </w:tbl>
    <w:p/>
    <w:p>
      <w:r>
        <w:t>이 집합은 미결정·미관측 결과를 논리적으로 채웠을 때의 가능성입니다. 모집단 최소 인원을 통계적 신뢰도로 특정한 결과나 신뢰구간은 아닙니다.</w:t>
      </w:r>
    </w:p>
    <w:p>
      <w:r>
        <w:t>지도와 보강 계산의 승격 계단 540개에서는 결정된 결과만 사용할 때 단일 후보가 252개, T까지 고려하면 240개였습니다. 두 실험 집합의 크기와 선택 방식은 다릅니다.</w:t>
      </w:r>
    </w:p>
    <w:p>
      <w:pPr>
        <w:pStyle w:val="Heading1"/>
      </w:pPr>
      <w:r>
        <w:t>후보 집합의 구성</w:t>
      </w:r>
    </w:p>
    <w:p>
      <w:r>
        <w:t>상단이 문턱보다 낮으면 그 인원은 반드시 미달입니다. 하단이 문턱 이상이면 반드시 달성입니다. 반드시 미달이 아니고, 그보다 앞에 반드시 달성인 인원이 없으면 최소값 후보에 남깁니다. 후보 사이 빈 구간도 보존합니다. 확실한 달성점이 없으면 무한히 열린 꼬리와 미도달 가능성을 함께 남깁니다.</w:t>
      </w:r>
    </w:p>
    <w:p>
      <w:r>
        <w:t>각 예측이 모든 후보, 일부 후보, 어느 후보에도 ±1명 이내가 아닌지를 구분합니다. 이 분류는 모집단 예측 정확도의 상한·하한 신뢰구간이 아닙니다. 검열 때문에 기록된 합성 T도 유지하며, 상한을 임의의 유한 인원으로 메우지 않습니다.</w:t>
      </w:r>
    </w:p>
    <w:p>
      <w:r>
        <w:br w:type="page"/>
      </w:r>
    </w:p>
    <w:p>
      <w:pPr>
        <w:pStyle w:val="Heading1"/>
      </w:pPr>
      <w:r>
        <w:t>모형 성능을 어디까지 말할 수 있나</w:t>
      </w:r>
    </w:p>
    <w:p>
      <w:r>
        <w:t>D에서 단일 후보가 나온 10개 중 8개는 산술 하한 N0에서 후보가 정해졌습니다. 이 부분집합은 산술 하한에 치우쳐 있습니다. N0 비교값은 결과를 본 뒤 추가한 비교이며, 예측모형을 다시 학습하지 않았습니다.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835"/>
        <w:gridCol w:w="3402"/>
      </w:tblGrid>
      <w:tr>
        <w:trPr>
          <w:tblHeader/>
        </w:trPr>
        <w:tc>
          <w:tcPr>
            <w:tcW w:type="dxa" w:w="3175"/>
            <w:vAlign w:val="center"/>
            <w:tcMar>
              <w:top w:w="100" w:type="dxa"/>
              <w:left w:w="100" w:type="dxa"/>
              <w:bottom w:w="100" w:type="dxa"/>
              <w:right w:w="100" w:type="dxa"/>
            </w:tcMar>
            <w:shd w:fill="E5EDF1"/>
          </w:tcPr>
          <w:p>
            <w:pPr>
              <w:spacing w:after="60"/>
            </w:pPr>
            <w:r>
              <w:rPr>
                <w:b/>
                <w:sz w:val="20"/>
              </w:rPr>
              <w:t>비교값</w:t>
            </w:r>
          </w:p>
        </w:tc>
        <w:tc>
          <w:tcPr>
            <w:tcW w:type="dxa" w:w="2835"/>
            <w:vAlign w:val="center"/>
            <w:tcMar>
              <w:top w:w="100" w:type="dxa"/>
              <w:left w:w="100" w:type="dxa"/>
              <w:bottom w:w="100" w:type="dxa"/>
              <w:right w:w="100" w:type="dxa"/>
            </w:tcMar>
            <w:shd w:fill="E5EDF1"/>
          </w:tcPr>
          <w:p>
            <w:pPr>
              <w:spacing w:after="60"/>
              <w:jc w:val="center"/>
            </w:pPr>
            <w:r>
              <w:rPr>
                <w:b/>
                <w:sz w:val="20"/>
              </w:rPr>
              <w:t>±1명 이내</w:t>
            </w:r>
          </w:p>
        </w:tc>
        <w:tc>
          <w:tcPr>
            <w:tcW w:type="dxa" w:w="3402"/>
            <w:vAlign w:val="center"/>
            <w:tcMar>
              <w:top w:w="100" w:type="dxa"/>
              <w:left w:w="100" w:type="dxa"/>
              <w:bottom w:w="100" w:type="dxa"/>
              <w:right w:w="100" w:type="dxa"/>
            </w:tcMar>
            <w:shd w:fill="E5EDF1"/>
          </w:tcPr>
          <w:p>
            <w:pPr>
              <w:spacing w:after="60"/>
              <w:jc w:val="center"/>
            </w:pPr>
            <w:r>
              <w:rPr>
                <w:b/>
                <w:sz w:val="20"/>
              </w:rPr>
              <w:t>평균 절대오차</w:t>
            </w:r>
          </w:p>
        </w:tc>
      </w:tr>
      <w:tr>
        <w:tc>
          <w:tcPr>
            <w:tcW w:type="dxa" w:w="3175"/>
            <w:vAlign w:val="center"/>
            <w:tcMar>
              <w:top w:w="100" w:type="dxa"/>
              <w:left w:w="100" w:type="dxa"/>
              <w:bottom w:w="100" w:type="dxa"/>
              <w:right w:w="100" w:type="dxa"/>
            </w:tcMar>
          </w:tcPr>
          <w:p>
            <w:pPr>
              <w:spacing w:after="60"/>
            </w:pPr>
            <w:r>
              <w:rPr>
                <w:b w:val="0"/>
                <w:sz w:val="20"/>
              </w:rPr>
              <w:t>M0</w:t>
            </w:r>
          </w:p>
        </w:tc>
        <w:tc>
          <w:tcPr>
            <w:tcW w:type="dxa" w:w="2835"/>
            <w:vAlign w:val="center"/>
            <w:tcMar>
              <w:top w:w="100" w:type="dxa"/>
              <w:left w:w="100" w:type="dxa"/>
              <w:bottom w:w="100" w:type="dxa"/>
              <w:right w:w="100" w:type="dxa"/>
            </w:tcMar>
          </w:tcPr>
          <w:p>
            <w:pPr>
              <w:spacing w:after="60"/>
              <w:jc w:val="center"/>
            </w:pPr>
            <w:r>
              <w:rPr>
                <w:b w:val="0"/>
                <w:sz w:val="20"/>
              </w:rPr>
              <w:t>2/10</w:t>
            </w:r>
          </w:p>
        </w:tc>
        <w:tc>
          <w:tcPr>
            <w:tcW w:type="dxa" w:w="3402"/>
            <w:vAlign w:val="center"/>
            <w:tcMar>
              <w:top w:w="100" w:type="dxa"/>
              <w:left w:w="100" w:type="dxa"/>
              <w:bottom w:w="100" w:type="dxa"/>
              <w:right w:w="100" w:type="dxa"/>
            </w:tcMar>
          </w:tcPr>
          <w:p>
            <w:pPr>
              <w:spacing w:after="60"/>
              <w:jc w:val="center"/>
            </w:pPr>
            <w:r>
              <w:rPr>
                <w:b w:val="0"/>
                <w:sz w:val="20"/>
              </w:rPr>
              <w:t>2.9명</w:t>
            </w:r>
          </w:p>
        </w:tc>
      </w:tr>
      <w:tr>
        <w:tc>
          <w:tcPr>
            <w:tcW w:type="dxa" w:w="3175"/>
            <w:vAlign w:val="center"/>
            <w:tcMar>
              <w:top w:w="100" w:type="dxa"/>
              <w:left w:w="100" w:type="dxa"/>
              <w:bottom w:w="100" w:type="dxa"/>
              <w:right w:w="100" w:type="dxa"/>
            </w:tcMar>
          </w:tcPr>
          <w:p>
            <w:pPr>
              <w:spacing w:after="60"/>
            </w:pPr>
            <w:r>
              <w:rPr>
                <w:b w:val="0"/>
                <w:sz w:val="20"/>
              </w:rPr>
              <w:t>M1</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0.7명</w:t>
            </w:r>
          </w:p>
        </w:tc>
      </w:tr>
      <w:tr>
        <w:tc>
          <w:tcPr>
            <w:tcW w:type="dxa" w:w="3175"/>
            <w:vAlign w:val="center"/>
            <w:tcMar>
              <w:top w:w="100" w:type="dxa"/>
              <w:left w:w="100" w:type="dxa"/>
              <w:bottom w:w="100" w:type="dxa"/>
              <w:right w:w="100" w:type="dxa"/>
            </w:tcMar>
          </w:tcPr>
          <w:p>
            <w:pPr>
              <w:spacing w:after="60"/>
            </w:pPr>
            <w:r>
              <w:rPr>
                <w:b w:val="0"/>
                <w:sz w:val="20"/>
              </w:rPr>
              <w:t>M2</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0.5명</w:t>
            </w:r>
          </w:p>
        </w:tc>
      </w:tr>
      <w:tr>
        <w:tc>
          <w:tcPr>
            <w:tcW w:type="dxa" w:w="3175"/>
            <w:vAlign w:val="center"/>
            <w:tcMar>
              <w:top w:w="100" w:type="dxa"/>
              <w:left w:w="100" w:type="dxa"/>
              <w:bottom w:w="100" w:type="dxa"/>
              <w:right w:w="100" w:type="dxa"/>
            </w:tcMar>
          </w:tcPr>
          <w:p>
            <w:pPr>
              <w:spacing w:after="60"/>
            </w:pPr>
            <w:r>
              <w:rPr>
                <w:b w:val="0"/>
                <w:sz w:val="20"/>
              </w:rPr>
              <w:t>M3</w:t>
            </w:r>
          </w:p>
        </w:tc>
        <w:tc>
          <w:tcPr>
            <w:tcW w:type="dxa" w:w="2835"/>
            <w:vAlign w:val="center"/>
            <w:tcMar>
              <w:top w:w="100" w:type="dxa"/>
              <w:left w:w="100" w:type="dxa"/>
              <w:bottom w:w="100" w:type="dxa"/>
              <w:right w:w="100" w:type="dxa"/>
            </w:tcMar>
          </w:tcPr>
          <w:p>
            <w:pPr>
              <w:spacing w:after="60"/>
              <w:jc w:val="center"/>
            </w:pPr>
            <w:r>
              <w:rPr>
                <w:b w:val="0"/>
                <w:sz w:val="20"/>
              </w:rPr>
              <w:t>10/10</w:t>
            </w:r>
          </w:p>
        </w:tc>
        <w:tc>
          <w:tcPr>
            <w:tcW w:type="dxa" w:w="3402"/>
            <w:vAlign w:val="center"/>
            <w:tcMar>
              <w:top w:w="100" w:type="dxa"/>
              <w:left w:w="100" w:type="dxa"/>
              <w:bottom w:w="100" w:type="dxa"/>
              <w:right w:w="100" w:type="dxa"/>
            </w:tcMar>
          </w:tcPr>
          <w:p>
            <w:pPr>
              <w:spacing w:after="60"/>
              <w:jc w:val="center"/>
            </w:pPr>
            <w:r>
              <w:rPr>
                <w:b w:val="0"/>
                <w:sz w:val="20"/>
              </w:rPr>
              <w:t>0.4명</w:t>
            </w:r>
          </w:p>
        </w:tc>
      </w:tr>
      <w:tr>
        <w:tc>
          <w:tcPr>
            <w:tcW w:type="dxa" w:w="3175"/>
            <w:vAlign w:val="center"/>
            <w:tcMar>
              <w:top w:w="100" w:type="dxa"/>
              <w:left w:w="100" w:type="dxa"/>
              <w:bottom w:w="100" w:type="dxa"/>
              <w:right w:w="100" w:type="dxa"/>
            </w:tcMar>
          </w:tcPr>
          <w:p>
            <w:pPr>
              <w:spacing w:after="60"/>
            </w:pPr>
            <w:r>
              <w:rPr>
                <w:b w:val="0"/>
                <w:sz w:val="20"/>
              </w:rPr>
              <w:t>N0 사후 비교</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0.3명</w:t>
            </w:r>
          </w:p>
        </w:tc>
      </w:tr>
    </w:tbl>
    <w:p/>
    <w:p>
      <w:r>
        <w:t>M0는 1.6배 산식, M1·M2는 기존 회귀식, M3는 검증 관측창을 정한 확률모형입니다. M1·M2와 N0의 적중 수가 같고 N0의 오차가 더 작습니다. 이 비교로 어느 모형의 일반적 우월성도 결론내리지 않습니다.</w:t>
      </w:r>
    </w:p>
    <w:p>
      <w:r>
        <w:t>또한 M1·M2의 기존 학습 표지 144개 중 33개가 전역 최소값이라는 해석을 지지하지 못했습니다. 기존 예측의 점수만 다시 계산했다고 학습 표지의 문제가 해결된 것은 아닙니다.</w:t>
      </w:r>
    </w:p>
    <w:p>
      <w:pPr>
        <w:pStyle w:val="Heading1"/>
      </w:pPr>
      <w:r>
        <w:t>산술 비교의 정정</w:t>
      </w:r>
    </w:p>
    <w:p>
      <w:r>
        <w:t>승격 계단 540개에서 round(1.6W)가 N0보다 작은 경우는 351개입니다. 올림을 적용한 사후 비교에서는 307개입니다. 이는 산술 하한과의 비교이며 기존 경계 표지에 의존한 수치를 그대로 하한 부족률로 읽지 않습니다.</w:t>
      </w:r>
    </w:p>
    <w:p>
      <w:r>
        <w:br w:type="page"/>
      </w:r>
    </w:p>
    <w:p>
      <w:pPr>
        <w:pStyle w:val="Heading1"/>
      </w:pPr>
      <w:r>
        <w:t>불확실성과 분석 이력</w:t>
      </w:r>
    </w:p>
    <w:p>
      <w:r>
        <w:t>검열 가능 구간을 일정량 넓히는 민감도 분석은 사후 기술 분석입니다. 문턱은 그대로 두며, 넓히는 양은 표준오차나 신뢰수준이 아닙니다. 공통 이월 표본, 결과에 따라 선택한 관측창, 최소값 판독을 거쳐 학습으로 이어지는 불확실성을 동시에 반영한 모집단 신뢰대는 제공하지 않았습니다.</w:t>
      </w:r>
    </w:p>
    <w:p>
      <w:r>
        <w:t>GAM 예측표와 D 실행 동결은 실행 전에 있었으나 M1·M2 사다리와 판독기는 D 실행 중에 기록됐습니다. 모니터에는 x347 h4, x348 h0와 h1의 결과 요약이 노출됐습니다. D로 재학습한 증거는 없지만 완전한 눈가림이나 외부 사전등록을 주장하지 않습니다.</w:t>
      </w:r>
    </w:p>
    <w:p>
      <w:r>
        <w:t>GAM 평활화 선택은 기본 UBRE 기준이며 군집 교차검증과 구분합니다. Sobol 분석에서 모형이 목표에 도달하지 않으면 h=12를 대입한 값은 대체값에 의존한 민감도입니다. 전역 최소 인원의 분산을 산술 91%와 조합 9%로 확정 분해하지 않습니다.</w:t>
      </w:r>
    </w:p>
    <w:p>
      <w:r>
        <w:t>Anchor 002의 동등성 구간은 지정 허용폭 안에 있었으나 추가적인 T=0 요건을 충족하지 못해 복합 판정 NO-GO가 유지됩니다. 구간에 0이 포함된다는 사실을 동등성 실패의 이유로 삼지 않습니다. 이전 기록과 판정은 보존했습니다.</w:t>
      </w:r>
    </w:p>
    <w:p>
      <w:r>
        <w:br w:type="page"/>
      </w:r>
    </w:p>
    <w:p>
      <w:pPr>
        <w:pStyle w:val="Heading1"/>
      </w:pPr>
      <w:r>
        <w:t>배수 척도로 본 결과와 판독기의 통제 검증</w:t>
      </w:r>
    </w:p>
    <w:p>
      <w:r>
        <w:t>산술 규칙에 익숙한 독자를 위해 같은 결과를 하루 인원 W에 대한 배수로 적었습니다. 승격 계단 540개에서 규칙만 세어 나오는 산술 하한 N0은 W의 1.67배(중앙값 · 범위 1.46–1.93)였습니다. 이 퍼짐은 야간 상한·휴무·연가·역할 규칙이 조건마다 다르게 만든 것이며, 그래서 1.6배 반올림값이 산술 하한에도 못 미친 계단이 351개였습니다.</w:t>
      </w:r>
    </w:p>
    <w:p>
      <w:r>
        <w:t>목표 95%에 도달한 것이 관측된 324개 계단에서 그 첫 인원은 W의 1.79배(중앙값 · 범위 1.54–2.18)였고, 관측 도달 중 173개는 산술 하한 그 자리에서, 278개는 하한 위 세 명 이내에서 도달했습니다. 나머지 216개 계단은 관측 창 안에서 도달한 인원이 없어 더 큰 인원이 필요하다는 것만 압니다. 이것은 유한 표본에서 관측된 첫 도달점이지 확정된 최소 인원이 아니며, 어떤 병동의 권고도 아닙니다.</w:t>
      </w:r>
    </w:p>
    <w:p>
      <w:r>
        <w:t>후보 집합 판독기 자체도 정답을 아는 설계 곡선에서 검증했습니다. 관측률이 목표에서 멀 때는 참값을 98.0% 담았지만, 모든 인원 구간이 목표의 표본오차 안에 있을 때는 54.6%만 담았고, 단일 후보가 참값을 맞힌 비율도 97.1%에서 56.1%로 떨어졌습니다. 이 수치는 설계 곡선에 한정되며, 판독기가 관측률에는 완전하지만 표본오차를 뚫지는 못한다는 점을 보여줍니다.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그래서 1.6이 아니면 몇을 곱해야 하나요</w:t>
            </w:r>
          </w:p>
        </w:tc>
        <w:tc>
          <w:tcPr>
            <w:tcW w:type="dxa" w:w="6463"/>
            <w:vAlign w:val="center"/>
            <w:tcMar>
              <w:top w:w="100" w:type="dxa"/>
              <w:left w:w="100" w:type="dxa"/>
              <w:bottom w:w="100" w:type="dxa"/>
              <w:right w:w="100" w:type="dxa"/>
            </w:tcMar>
          </w:tcPr>
          <w:p>
            <w:pPr>
              <w:spacing w:after="60"/>
            </w:pPr>
            <w:r>
              <w:rPr>
                <w:b w:val="0"/>
                <w:sz w:val="20"/>
              </w:rPr>
              <w:t>이 합성 상자에서는 규칙을 세어 나온 하한이 이미 1.5~1.9배였고 도달이 관측된 곳은 1.7~1.9배 부근이었습니다. 다만 하나의 배수보다 병동 규칙으로 하한을 세는 것이 먼저이며, 배수 표를 만드는 것은 후속 연구입니다.</w:t>
            </w:r>
          </w:p>
        </w:tc>
      </w:tr>
    </w:tbl>
    <w:p/>
    <w:p>
      <w:pPr>
        <w:pStyle w:val="Heading1"/>
      </w:pPr>
      <w:r>
        <w:t>논문에 남기는 결론</w:t>
      </w:r>
    </w:p>
    <w:p>
      <w:r>
        <w:t>이 실험은 명시된 합성 규칙 아래 편성 가능성과 산술 제약을 재현 가능하게 살펴봅니다. 동시에 국소적인 관측창, 비단조 표본률, 시간 검열이 최소 인원 해석을 제한한다는 점을 보여줍니다. 실제 병동의 안전성, 법정 기준, 인력 충원 권고를 검증한 연구는 아닙니다.</w:t>
      </w:r>
    </w:p>
    <w:p>
      <w:r>
        <w:t>추가 학습이나 모집단 추론을 하려면 새로운 분석계획과 적절한 불확실성 전파가 필요합니다. 이미 살펴본 D를 다시 독립적인 새 검증자료라고 부를 수 없습니다. 현재 원고는 이 제한을 명시한 계산 방법 연구로 정리했습니다.</w:t>
      </w:r>
    </w:p>
    <w:p>
      <w:r>
        <w:t>2026년 9월 20일, 1편(세 수요 원형의 확증 실험)과 2편(조건 공간 계산과 판독 정정)을 하나의 국문 원고로 합쳐 대한간호학회지 투고본을 준비했습니다. 본문에는 핵심 표 3개와 그림 2개만 두고, 두 편의 방법·결과 전문은 보충자료로 붙였습니다. 모든 숫자는 봉인 산출물에서 자동으로 채워지며 손으로 옮긴 숫자는 없습니다.</w:t>
      </w:r>
    </w:p>
    <w:p>
      <w:r>
        <w:t>투고 전 남은 것은 연구책임자 몫입니다: 저자·소속·ORCID·교신 정보, 기관 IRB 심의 면제 확인, 이해상충 문안 재서명, 연구비 문안, 국문 초록 요건 확인. 실제 접수는 아직 확인되지 않았습니다. 후속 연구는 「규칙 파라미터에 따른 배수 표」를 목표로 구상 단계에 있습니다.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snapToGrid w:val="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Malgun Gothic" w:hAnsi="Malgun Gothic"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