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24C" w:rsidRDefault="0099324C" w:rsidP="0099324C">
      <w:pPr>
        <w:pStyle w:val="Kop1"/>
      </w:pPr>
      <w:proofErr w:type="spellStart"/>
      <w:r>
        <w:t>TheNegotiator</w:t>
      </w:r>
      <w:proofErr w:type="spellEnd"/>
    </w:p>
    <w:p w:rsidR="0099324C" w:rsidRPr="0099324C" w:rsidRDefault="0099324C" w:rsidP="0099324C">
      <w:pPr>
        <w:jc w:val="both"/>
        <w:rPr>
          <w:lang w:val="en-US"/>
        </w:rPr>
      </w:pPr>
      <w:proofErr w:type="spellStart"/>
      <w:r w:rsidRPr="0099324C">
        <w:rPr>
          <w:lang w:val="en-US"/>
        </w:rPr>
        <w:t>TheNegotiator</w:t>
      </w:r>
      <w:proofErr w:type="spellEnd"/>
      <w:r w:rsidRPr="0099324C">
        <w:rPr>
          <w:lang w:val="en-US"/>
        </w:rPr>
        <w:t xml:space="preserve"> uses two modes: DISCOUNT and NO_DISCOUNT. </w:t>
      </w:r>
      <w:r w:rsidR="00287F75">
        <w:rPr>
          <w:lang w:val="en-US"/>
        </w:rPr>
        <w:t>In turn, each of the modes</w:t>
      </w:r>
      <w:r>
        <w:rPr>
          <w:lang w:val="en-US"/>
        </w:rPr>
        <w:t xml:space="preserve"> </w:t>
      </w:r>
      <w:r w:rsidRPr="0099324C">
        <w:rPr>
          <w:lang w:val="en-US"/>
        </w:rPr>
        <w:t>contains three</w:t>
      </w:r>
      <w:r w:rsidR="000926AB">
        <w:rPr>
          <w:lang w:val="en-US"/>
        </w:rPr>
        <w:t xml:space="preserve"> identical</w:t>
      </w:r>
      <w:r w:rsidRPr="0099324C">
        <w:rPr>
          <w:lang w:val="en-US"/>
        </w:rPr>
        <w:t xml:space="preserve"> phases as shown below. </w:t>
      </w:r>
      <w:r w:rsidR="006328BC">
        <w:rPr>
          <w:lang w:val="en-US"/>
        </w:rPr>
        <w:t xml:space="preserve">A </w:t>
      </w:r>
      <w:r w:rsidRPr="0099324C">
        <w:rPr>
          <w:lang w:val="en-US"/>
        </w:rPr>
        <w:t xml:space="preserve">negotiation starts in the NO_DISCOUNT mode. A </w:t>
      </w:r>
      <w:r>
        <w:rPr>
          <w:lang w:val="en-US"/>
        </w:rPr>
        <w:t>mode switch</w:t>
      </w:r>
      <w:r w:rsidRPr="0099324C">
        <w:rPr>
          <w:lang w:val="en-US"/>
        </w:rPr>
        <w:t xml:space="preserve"> occurs after discount time</w:t>
      </w:r>
      <w:r w:rsidR="006328BC">
        <w:rPr>
          <w:lang w:val="en-US"/>
        </w:rPr>
        <w:t xml:space="preserve"> and cancels the NL_DISCOUNT mode</w:t>
      </w:r>
      <w:r w:rsidR="000926AB">
        <w:rPr>
          <w:lang w:val="en-US"/>
        </w:rPr>
        <w:t>, which corresponds to</w:t>
      </w:r>
      <w:r>
        <w:rPr>
          <w:lang w:val="en-US"/>
        </w:rPr>
        <w:t xml:space="preserve"> a change of an hardheaded strategy to a more concession oriented approach</w:t>
      </w:r>
      <w:r w:rsidRPr="0099324C">
        <w:rPr>
          <w:lang w:val="en-US"/>
        </w:rPr>
        <w:t>.</w:t>
      </w:r>
    </w:p>
    <w:p w:rsidR="0099324C" w:rsidRPr="0099324C" w:rsidRDefault="0099324C" w:rsidP="0099324C">
      <w:pPr>
        <w:jc w:val="both"/>
        <w:rPr>
          <w:lang w:val="en-US"/>
        </w:rPr>
      </w:pPr>
    </w:p>
    <w:p w:rsidR="000926AB" w:rsidRDefault="0099324C" w:rsidP="0099324C">
      <w:pPr>
        <w:jc w:val="both"/>
        <w:rPr>
          <w:lang w:val="en-US"/>
        </w:rPr>
      </w:pPr>
      <w:r w:rsidRPr="0099324C">
        <w:rPr>
          <w:lang w:val="en-US"/>
        </w:rPr>
        <w:t xml:space="preserve">The main difference between the strategies is in the </w:t>
      </w:r>
      <w:r>
        <w:rPr>
          <w:lang w:val="en-US"/>
        </w:rPr>
        <w:t>speed of descent</w:t>
      </w:r>
      <w:r w:rsidRPr="0099324C">
        <w:rPr>
          <w:lang w:val="en-US"/>
        </w:rPr>
        <w:t xml:space="preserve"> of the minimum threshold for acceptance and offering. </w:t>
      </w:r>
      <w:r>
        <w:rPr>
          <w:lang w:val="en-US"/>
        </w:rPr>
        <w:t>In the NO_DISCOUNT mode most time is spend on the higher range of utilities</w:t>
      </w:r>
      <w:r w:rsidR="006328BC">
        <w:rPr>
          <w:lang w:val="en-US"/>
        </w:rPr>
        <w:t xml:space="preserve"> and only in the last seconds the remaining bids are visited</w:t>
      </w:r>
      <w:r>
        <w:rPr>
          <w:lang w:val="en-US"/>
        </w:rPr>
        <w:t xml:space="preserve">. The DISCOUNT mode treats all bids equally and tries to visit them all. An opponent move is accepted if it is above the current minimum threshold. An offer should also satisfy the minimum threshold, however a dynamic </w:t>
      </w:r>
      <w:proofErr w:type="spellStart"/>
      <w:r>
        <w:rPr>
          <w:lang w:val="en-US"/>
        </w:rPr>
        <w:t>upperbound</w:t>
      </w:r>
      <w:proofErr w:type="spellEnd"/>
      <w:r>
        <w:rPr>
          <w:lang w:val="en-US"/>
        </w:rPr>
        <w:t xml:space="preserve"> is used to limit the available bids to offer in a turn.</w:t>
      </w:r>
      <w:r w:rsidR="000926AB">
        <w:rPr>
          <w:lang w:val="en-US"/>
        </w:rPr>
        <w:t xml:space="preserve"> In 30% of the cases this </w:t>
      </w:r>
      <w:proofErr w:type="spellStart"/>
      <w:r w:rsidR="000926AB">
        <w:rPr>
          <w:lang w:val="en-US"/>
        </w:rPr>
        <w:t>upperbound</w:t>
      </w:r>
      <w:proofErr w:type="spellEnd"/>
      <w:r w:rsidR="000926AB">
        <w:rPr>
          <w:lang w:val="en-US"/>
        </w:rPr>
        <w:t xml:space="preserve"> is ignored to revisit old bids, which can </w:t>
      </w:r>
      <w:r w:rsidR="006328BC">
        <w:rPr>
          <w:lang w:val="en-US"/>
        </w:rPr>
        <w:t xml:space="preserve">result in acceptance </w:t>
      </w:r>
      <w:r w:rsidR="000926AB">
        <w:rPr>
          <w:lang w:val="en-US"/>
        </w:rPr>
        <w:t>in later phases of the negotiation.</w:t>
      </w:r>
    </w:p>
    <w:p w:rsidR="000926AB" w:rsidRDefault="000926AB" w:rsidP="0099324C">
      <w:pPr>
        <w:jc w:val="both"/>
        <w:rPr>
          <w:lang w:val="en-US"/>
        </w:rPr>
      </w:pPr>
    </w:p>
    <w:p w:rsidR="0099324C" w:rsidRDefault="0099324C" w:rsidP="0099324C">
      <w:pPr>
        <w:jc w:val="both"/>
        <w:rPr>
          <w:lang w:val="en-US"/>
        </w:rPr>
      </w:pPr>
      <w:r>
        <w:rPr>
          <w:lang w:val="en-US"/>
        </w:rPr>
        <w:t xml:space="preserve">In effect, the </w:t>
      </w:r>
      <w:r w:rsidRPr="0099324C">
        <w:rPr>
          <w:lang w:val="en-US"/>
        </w:rPr>
        <w:t xml:space="preserve">NO_DISCOUNT mode uses a hardheaded strategy, whereas the DISCOUNT </w:t>
      </w:r>
      <w:r>
        <w:rPr>
          <w:lang w:val="en-US"/>
        </w:rPr>
        <w:t>mode tries to visit all remaining bids, and is therefore more concession oriented.</w:t>
      </w:r>
      <w:r w:rsidR="000926AB">
        <w:rPr>
          <w:lang w:val="en-US"/>
        </w:rPr>
        <w:t xml:space="preserve"> A remaining moves estimator is used to make sure that </w:t>
      </w:r>
      <w:proofErr w:type="spellStart"/>
      <w:r w:rsidR="000926AB">
        <w:rPr>
          <w:lang w:val="en-US"/>
        </w:rPr>
        <w:t>TheNegotiator</w:t>
      </w:r>
      <w:proofErr w:type="spellEnd"/>
      <w:r w:rsidR="000926AB">
        <w:rPr>
          <w:lang w:val="en-US"/>
        </w:rPr>
        <w:t xml:space="preserve"> always accepts before the negotiation is closed.</w:t>
      </w:r>
    </w:p>
    <w:p w:rsidR="0099324C" w:rsidRDefault="0099324C" w:rsidP="0099324C">
      <w:pPr>
        <w:jc w:val="both"/>
        <w:rPr>
          <w:lang w:val="en-US"/>
        </w:rPr>
      </w:pPr>
    </w:p>
    <w:tbl>
      <w:tblPr>
        <w:tblStyle w:val="Tabelraster"/>
        <w:tblW w:w="0" w:type="auto"/>
        <w:tblLook w:val="04A0"/>
      </w:tblPr>
      <w:tblGrid>
        <w:gridCol w:w="759"/>
        <w:gridCol w:w="4389"/>
        <w:gridCol w:w="4428"/>
      </w:tblGrid>
      <w:tr w:rsidR="000926AB" w:rsidTr="000926AB">
        <w:tc>
          <w:tcPr>
            <w:tcW w:w="759" w:type="dxa"/>
          </w:tcPr>
          <w:p w:rsidR="000926AB" w:rsidRPr="000926AB" w:rsidRDefault="000926AB" w:rsidP="0099324C">
            <w:pPr>
              <w:jc w:val="both"/>
              <w:rPr>
                <w:b/>
                <w:lang w:val="en-US"/>
              </w:rPr>
            </w:pPr>
            <w:r>
              <w:rPr>
                <w:b/>
                <w:lang w:val="en-US"/>
              </w:rPr>
              <w:t>Phase</w:t>
            </w:r>
          </w:p>
        </w:tc>
        <w:tc>
          <w:tcPr>
            <w:tcW w:w="4389" w:type="dxa"/>
          </w:tcPr>
          <w:p w:rsidR="000926AB" w:rsidRPr="000926AB" w:rsidRDefault="000926AB" w:rsidP="0099324C">
            <w:pPr>
              <w:jc w:val="both"/>
              <w:rPr>
                <w:b/>
                <w:lang w:val="en-US"/>
              </w:rPr>
            </w:pPr>
            <w:r>
              <w:rPr>
                <w:b/>
                <w:lang w:val="en-US"/>
              </w:rPr>
              <w:t>Accept</w:t>
            </w:r>
          </w:p>
        </w:tc>
        <w:tc>
          <w:tcPr>
            <w:tcW w:w="4428" w:type="dxa"/>
          </w:tcPr>
          <w:p w:rsidR="000926AB" w:rsidRPr="000926AB" w:rsidRDefault="000926AB" w:rsidP="0099324C">
            <w:pPr>
              <w:jc w:val="both"/>
              <w:rPr>
                <w:b/>
                <w:lang w:val="en-US"/>
              </w:rPr>
            </w:pPr>
            <w:r>
              <w:rPr>
                <w:b/>
                <w:lang w:val="en-US"/>
              </w:rPr>
              <w:t>Offer</w:t>
            </w:r>
          </w:p>
        </w:tc>
      </w:tr>
      <w:tr w:rsidR="000926AB" w:rsidTr="000926AB">
        <w:tc>
          <w:tcPr>
            <w:tcW w:w="759" w:type="dxa"/>
          </w:tcPr>
          <w:p w:rsidR="000926AB" w:rsidRDefault="000926AB" w:rsidP="0099324C">
            <w:pPr>
              <w:jc w:val="both"/>
              <w:rPr>
                <w:lang w:val="en-US"/>
              </w:rPr>
            </w:pPr>
            <w:r>
              <w:rPr>
                <w:lang w:val="en-US"/>
              </w:rPr>
              <w:t>1</w:t>
            </w:r>
          </w:p>
        </w:tc>
        <w:tc>
          <w:tcPr>
            <w:tcW w:w="4389" w:type="dxa"/>
          </w:tcPr>
          <w:p w:rsidR="000926AB" w:rsidRDefault="000926AB" w:rsidP="000926AB">
            <w:pPr>
              <w:jc w:val="both"/>
              <w:rPr>
                <w:lang w:val="en-US"/>
              </w:rPr>
            </w:pPr>
            <w:r>
              <w:rPr>
                <w:lang w:val="en-US"/>
              </w:rPr>
              <w:t>Accepts when the utility of the opponent bid is above the minimum threshold</w:t>
            </w:r>
          </w:p>
        </w:tc>
        <w:tc>
          <w:tcPr>
            <w:tcW w:w="4428" w:type="dxa"/>
          </w:tcPr>
          <w:p w:rsidR="000926AB" w:rsidRDefault="000926AB" w:rsidP="000926AB">
            <w:pPr>
              <w:jc w:val="both"/>
              <w:rPr>
                <w:lang w:val="en-US"/>
              </w:rPr>
            </w:pPr>
            <w:r>
              <w:rPr>
                <w:lang w:val="en-US"/>
              </w:rPr>
              <w:t xml:space="preserve">Plays a bid which is between the lower- and </w:t>
            </w:r>
            <w:proofErr w:type="spellStart"/>
            <w:r>
              <w:rPr>
                <w:lang w:val="en-US"/>
              </w:rPr>
              <w:t>upperbound</w:t>
            </w:r>
            <w:proofErr w:type="spellEnd"/>
            <w:r>
              <w:rPr>
                <w:lang w:val="en-US"/>
              </w:rPr>
              <w:t xml:space="preserve"> of the current time. Ignores </w:t>
            </w:r>
            <w:proofErr w:type="spellStart"/>
            <w:r>
              <w:rPr>
                <w:lang w:val="en-US"/>
              </w:rPr>
              <w:t>upperbound</w:t>
            </w:r>
            <w:proofErr w:type="spellEnd"/>
            <w:r>
              <w:rPr>
                <w:lang w:val="en-US"/>
              </w:rPr>
              <w:t xml:space="preserve"> in 30% of the cases</w:t>
            </w:r>
          </w:p>
        </w:tc>
      </w:tr>
      <w:tr w:rsidR="000926AB" w:rsidTr="000926AB">
        <w:tc>
          <w:tcPr>
            <w:tcW w:w="759" w:type="dxa"/>
          </w:tcPr>
          <w:p w:rsidR="000926AB" w:rsidRDefault="000926AB" w:rsidP="0099324C">
            <w:pPr>
              <w:jc w:val="both"/>
              <w:rPr>
                <w:lang w:val="en-US"/>
              </w:rPr>
            </w:pPr>
            <w:r>
              <w:rPr>
                <w:lang w:val="en-US"/>
              </w:rPr>
              <w:t>2</w:t>
            </w:r>
          </w:p>
        </w:tc>
        <w:tc>
          <w:tcPr>
            <w:tcW w:w="4389" w:type="dxa"/>
          </w:tcPr>
          <w:p w:rsidR="000926AB" w:rsidRDefault="000926AB" w:rsidP="0099324C">
            <w:pPr>
              <w:jc w:val="both"/>
              <w:rPr>
                <w:lang w:val="en-US"/>
              </w:rPr>
            </w:pPr>
            <w:r>
              <w:rPr>
                <w:lang w:val="en-US"/>
              </w:rPr>
              <w:t>Same as phase 1</w:t>
            </w:r>
          </w:p>
        </w:tc>
        <w:tc>
          <w:tcPr>
            <w:tcW w:w="4428" w:type="dxa"/>
          </w:tcPr>
          <w:p w:rsidR="000926AB" w:rsidRDefault="000926AB" w:rsidP="0099324C">
            <w:pPr>
              <w:jc w:val="both"/>
              <w:rPr>
                <w:lang w:val="en-US"/>
              </w:rPr>
            </w:pPr>
            <w:r w:rsidRPr="000926AB">
              <w:rPr>
                <w:lang w:val="en-US"/>
              </w:rPr>
              <w:t>Play</w:t>
            </w:r>
            <w:r>
              <w:rPr>
                <w:lang w:val="en-US"/>
              </w:rPr>
              <w:t>s</w:t>
            </w:r>
            <w:r w:rsidRPr="000926AB">
              <w:rPr>
                <w:lang w:val="en-US"/>
              </w:rPr>
              <w:t xml:space="preserve"> previous bids of opponent bids that  </w:t>
            </w:r>
            <w:r>
              <w:rPr>
                <w:lang w:val="en-US"/>
              </w:rPr>
              <w:t xml:space="preserve">satisfy the </w:t>
            </w:r>
            <w:proofErr w:type="spellStart"/>
            <w:r>
              <w:rPr>
                <w:lang w:val="en-US"/>
              </w:rPr>
              <w:t>lowerbound</w:t>
            </w:r>
            <w:proofErr w:type="spellEnd"/>
            <w:r w:rsidRPr="000926AB">
              <w:rPr>
                <w:lang w:val="en-US"/>
              </w:rPr>
              <w:t xml:space="preserve">.  If none exist, </w:t>
            </w:r>
            <w:r>
              <w:rPr>
                <w:lang w:val="en-US"/>
              </w:rPr>
              <w:t>same strategy as phase 1</w:t>
            </w:r>
          </w:p>
        </w:tc>
      </w:tr>
      <w:tr w:rsidR="000926AB" w:rsidTr="000926AB">
        <w:tc>
          <w:tcPr>
            <w:tcW w:w="759" w:type="dxa"/>
          </w:tcPr>
          <w:p w:rsidR="000926AB" w:rsidRDefault="000926AB" w:rsidP="0099324C">
            <w:pPr>
              <w:jc w:val="both"/>
              <w:rPr>
                <w:lang w:val="en-US"/>
              </w:rPr>
            </w:pPr>
            <w:r>
              <w:rPr>
                <w:lang w:val="en-US"/>
              </w:rPr>
              <w:t>3</w:t>
            </w:r>
          </w:p>
        </w:tc>
        <w:tc>
          <w:tcPr>
            <w:tcW w:w="4389" w:type="dxa"/>
          </w:tcPr>
          <w:p w:rsidR="000926AB" w:rsidRDefault="000926AB" w:rsidP="000926AB">
            <w:pPr>
              <w:jc w:val="both"/>
              <w:rPr>
                <w:lang w:val="en-US"/>
              </w:rPr>
            </w:pPr>
            <w:r>
              <w:rPr>
                <w:lang w:val="en-US"/>
              </w:rPr>
              <w:t>Same as phase 1 if there are more than 15 turns left. If there are less than 15 turns left, every offer is accepted</w:t>
            </w:r>
          </w:p>
        </w:tc>
        <w:tc>
          <w:tcPr>
            <w:tcW w:w="4428" w:type="dxa"/>
          </w:tcPr>
          <w:p w:rsidR="000926AB" w:rsidRDefault="000926AB" w:rsidP="000926AB">
            <w:pPr>
              <w:jc w:val="both"/>
              <w:rPr>
                <w:lang w:val="en-US"/>
              </w:rPr>
            </w:pPr>
            <w:r>
              <w:rPr>
                <w:lang w:val="en-US"/>
              </w:rPr>
              <w:t>Same as phase 2</w:t>
            </w:r>
          </w:p>
        </w:tc>
      </w:tr>
    </w:tbl>
    <w:p w:rsidR="000926AB" w:rsidRDefault="000926AB" w:rsidP="0099324C">
      <w:pPr>
        <w:jc w:val="both"/>
        <w:rPr>
          <w:lang w:val="en-US"/>
        </w:rPr>
      </w:pPr>
    </w:p>
    <w:p w:rsidR="0099324C" w:rsidRDefault="0099324C" w:rsidP="0099324C">
      <w:pPr>
        <w:jc w:val="both"/>
        <w:rPr>
          <w:lang w:val="en-US"/>
        </w:rPr>
      </w:pPr>
    </w:p>
    <w:p w:rsidR="0099324C" w:rsidRDefault="0099324C" w:rsidP="0099324C">
      <w:pPr>
        <w:rPr>
          <w:lang w:val="en-US"/>
        </w:rPr>
      </w:pPr>
    </w:p>
    <w:p w:rsidR="0006303A" w:rsidRPr="0099324C" w:rsidRDefault="0006303A" w:rsidP="0099324C">
      <w:pPr>
        <w:rPr>
          <w:lang w:val="en-US"/>
        </w:rPr>
      </w:pPr>
    </w:p>
    <w:sectPr w:rsidR="0006303A" w:rsidRPr="0099324C" w:rsidSect="000630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99324C"/>
    <w:rsid w:val="0006303A"/>
    <w:rsid w:val="00081B3F"/>
    <w:rsid w:val="000926AB"/>
    <w:rsid w:val="001219EF"/>
    <w:rsid w:val="00277587"/>
    <w:rsid w:val="00287F75"/>
    <w:rsid w:val="00354370"/>
    <w:rsid w:val="00610F9B"/>
    <w:rsid w:val="006328BC"/>
    <w:rsid w:val="0099324C"/>
    <w:rsid w:val="00B26E7A"/>
    <w:rsid w:val="00C11CF9"/>
    <w:rsid w:val="00DA77F8"/>
    <w:rsid w:val="00DB2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bCs/>
        <w:sz w:val="22"/>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219EF"/>
    <w:rPr>
      <w:szCs w:val="24"/>
      <w:lang w:val="nl-NL"/>
    </w:rPr>
  </w:style>
  <w:style w:type="paragraph" w:styleId="Kop1">
    <w:name w:val="heading 1"/>
    <w:basedOn w:val="Standaard"/>
    <w:next w:val="Standaard"/>
    <w:link w:val="Kop1Char"/>
    <w:autoRedefine/>
    <w:qFormat/>
    <w:rsid w:val="00DA77F8"/>
    <w:pPr>
      <w:keepNext/>
      <w:keepLines/>
      <w:spacing w:before="480" w:line="276" w:lineRule="auto"/>
      <w:jc w:val="both"/>
      <w:outlineLvl w:val="0"/>
    </w:pPr>
    <w:rPr>
      <w:rFonts w:ascii="Cambria" w:hAnsi="Cambria"/>
      <w:b/>
      <w:color w:val="365F91"/>
      <w:sz w:val="28"/>
      <w:szCs w:val="28"/>
      <w:lang w:val="en-US"/>
    </w:rPr>
  </w:style>
  <w:style w:type="paragraph" w:styleId="Kop2">
    <w:name w:val="heading 2"/>
    <w:basedOn w:val="Standaard"/>
    <w:next w:val="Standaard"/>
    <w:link w:val="Kop2Char"/>
    <w:qFormat/>
    <w:rsid w:val="00DA77F8"/>
    <w:pPr>
      <w:keepNext/>
      <w:keepLines/>
      <w:spacing w:before="200" w:line="276" w:lineRule="auto"/>
      <w:jc w:val="both"/>
      <w:outlineLvl w:val="1"/>
    </w:pPr>
    <w:rPr>
      <w:rFonts w:ascii="Cambria" w:hAnsi="Cambria"/>
      <w:b/>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A77F8"/>
    <w:rPr>
      <w:rFonts w:ascii="Cambria" w:hAnsi="Cambria"/>
      <w:b/>
      <w:bCs/>
      <w:color w:val="365F91"/>
      <w:sz w:val="28"/>
      <w:szCs w:val="28"/>
    </w:rPr>
  </w:style>
  <w:style w:type="character" w:customStyle="1" w:styleId="Kop2Char">
    <w:name w:val="Kop 2 Char"/>
    <w:basedOn w:val="Standaardalinea-lettertype"/>
    <w:link w:val="Kop2"/>
    <w:rsid w:val="00DA77F8"/>
    <w:rPr>
      <w:rFonts w:ascii="Cambria" w:hAnsi="Cambria"/>
      <w:b/>
      <w:bCs/>
      <w:color w:val="4F81BD"/>
      <w:sz w:val="26"/>
      <w:szCs w:val="26"/>
      <w:lang w:val="nl-NL"/>
    </w:rPr>
  </w:style>
  <w:style w:type="character" w:styleId="Nadruk">
    <w:name w:val="Emphasis"/>
    <w:basedOn w:val="Standaardalinea-lettertype"/>
    <w:qFormat/>
    <w:rsid w:val="00DA77F8"/>
    <w:rPr>
      <w:i/>
      <w:iCs/>
    </w:rPr>
  </w:style>
  <w:style w:type="paragraph" w:styleId="Geenafstand">
    <w:name w:val="No Spacing"/>
    <w:link w:val="GeenafstandChar"/>
    <w:uiPriority w:val="1"/>
    <w:qFormat/>
    <w:rsid w:val="00DA77F8"/>
    <w:rPr>
      <w:szCs w:val="22"/>
      <w:lang w:val="nl-NL"/>
    </w:rPr>
  </w:style>
  <w:style w:type="character" w:customStyle="1" w:styleId="GeenafstandChar">
    <w:name w:val="Geen afstand Char"/>
    <w:basedOn w:val="Standaardalinea-lettertype"/>
    <w:link w:val="Geenafstand"/>
    <w:uiPriority w:val="1"/>
    <w:rsid w:val="00DA77F8"/>
    <w:rPr>
      <w:rFonts w:ascii="Calibri" w:hAnsi="Calibri"/>
      <w:sz w:val="22"/>
      <w:szCs w:val="22"/>
      <w:lang w:val="nl-NL" w:eastAsia="en-US" w:bidi="ar-SA"/>
    </w:rPr>
  </w:style>
  <w:style w:type="paragraph" w:styleId="Kopvaninhoudsopgave">
    <w:name w:val="TOC Heading"/>
    <w:basedOn w:val="Kop1"/>
    <w:next w:val="Standaard"/>
    <w:uiPriority w:val="39"/>
    <w:unhideWhenUsed/>
    <w:qFormat/>
    <w:rsid w:val="00DA77F8"/>
    <w:pPr>
      <w:outlineLvl w:val="9"/>
    </w:pPr>
  </w:style>
  <w:style w:type="table" w:styleId="Tabelraster">
    <w:name w:val="Table Grid"/>
    <w:basedOn w:val="Standaardtabel"/>
    <w:uiPriority w:val="59"/>
    <w:rsid w:val="00092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269</Words>
  <Characters>1536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TU Delft</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Hendrikx</dc:creator>
  <cp:keywords/>
  <dc:description/>
  <cp:lastModifiedBy>Mark Hendrikx</cp:lastModifiedBy>
  <cp:revision>3</cp:revision>
  <dcterms:created xsi:type="dcterms:W3CDTF">2011-04-13T16:24:00Z</dcterms:created>
  <dcterms:modified xsi:type="dcterms:W3CDTF">2011-04-13T16:53:00Z</dcterms:modified>
</cp:coreProperties>
</file>