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——文献综述</w:t>
      </w:r>
    </w:p>
    <w:p>
      <w:pPr>
        <w:spacing w:before="240" w:after="120" w:line="360" w:lineRule="auto"/>
        <w:ind w:firstLine="0"/>
        <w:jc w:val="left"/>
      </w:pPr>
      <w:r>
        <w:rPr>
          <w:rFonts w:ascii="Times New Roman" w:hAnsi="Times New Roman" w:eastAsia="仿宋"/>
          <w:b/>
          <w:sz w:val="28"/>
        </w:rPr>
        <w:t>摘要</w:t>
      </w:r>
    </w:p>
    <w:p>
      <w:pPr>
        <w:spacing w:line="360" w:lineRule="auto" w:after="120"/>
        <w:ind w:firstLine="420"/>
        <w:jc w:val="both"/>
      </w:pPr>
      <w:r>
        <w:rPr>
          <w:rFonts w:ascii="Times New Roman" w:hAnsi="Times New Roman" w:eastAsia="仿宋"/>
          <w:b w:val="0"/>
          <w:sz w:val="24"/>
        </w:rPr>
        <w:t>溶酶体靶向嵌合体（LYTAC）通过偶联靶蛋白与溶酶体靶向受体，将胞外及膜蛋白导入溶酶体降解，为传统上难以药化的胞外靶点提供了新的干预思路。本综述从受体生物学、模块化分子设计、疾病应用验证和转化瓶颈四个层面展开讨论，重点分析受体选择如何决定降解效率与组织定位，归纳靶向臂、受体臂和连接子三模块的平台属性，并在分子工程部分结合Banik、Ahn、Pance和Li等代表性研究加以说明，最后评估降解策略相对单纯阻断可能带来的增益，以及走向成药前仍需面对的主要障碍。</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靶向蛋白降解为传统上难以药化的蛋白提供了新路径。PROTAC通过招募胞内E3连接酶将靶蛋白导向蛋白酶体降解，已有候选分子进入临床评估；然而该策略对分泌蛋白和跨膜蛋白等胞外靶点覆盖有限（参考文献：《PROTAC targeted protein degraders: the past is prologue》[1]）。</w:t>
      </w:r>
    </w:p>
    <w:p>
      <w:pPr>
        <w:spacing w:line="360" w:lineRule="auto" w:after="120"/>
        <w:ind w:firstLine="420"/>
        <w:jc w:val="both"/>
      </w:pPr>
      <w:r>
        <w:rPr>
          <w:rFonts w:ascii="Times New Roman" w:hAnsi="Times New Roman" w:eastAsia="仿宋"/>
          <w:b w:val="0"/>
          <w:sz w:val="24"/>
        </w:rPr>
        <w:t>2020年Banik等提出溶酶体靶向嵌合体（LYTAC），通过同时结合靶蛋白与细胞表面溶酶体靶向受体，经内吞-溶酶体途径实现蛋白清除（参考文献：《Lysosome-targeting chimaeras for degradation of extracellular proteins》[2]）。Chen等和Mamun等的综述已对胞外蛋白降解的技术版图与分子类型做过宏观梳理（参考文献：《Targeted degradation of extracellular secreted and membrane proteins》[3]；《Targeted degradation of extracellular proteins: state of the art and diversity of degrader designs》[4]）。在上述背景之下，本文依次讨论受体如何选择、分子模块如何装配、疾病模型中有哪些验证证据，以及转化过程中尚存的瓶颈，希望为后续LYTAC药物研发提供一条可逐项对照的分析路径。</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一、溶酶体靶向受体的生物学基础与受体选择决策</w:t>
      </w:r>
    </w:p>
    <w:p>
      <w:pPr>
        <w:spacing w:line="360" w:lineRule="auto" w:after="120"/>
        <w:ind w:firstLine="420"/>
        <w:jc w:val="both"/>
      </w:pPr>
      <w:r>
        <w:rPr>
          <w:rFonts w:ascii="Times New Roman" w:hAnsi="Times New Roman" w:eastAsia="仿宋"/>
          <w:b w:val="0"/>
          <w:sz w:val="24"/>
        </w:rPr>
        <w:t>LYTAC的降解效率首先取决于所选用溶酶体靶向受体（LTR）的生物学特性，而不是仅由化学结构决定。三元复合物形成后，通过网格蛋白介导内吞进入早期内体；之后复合物或被分选至溶酶体完成蛋白水解，或通过retromer等途径回收至细胞膜，两条路径的竞争决定了LYTAC的最终降解效率（图1）。Lin等的早期综述认为这种平衡是解释不同细胞系降解效率差异的核心变量（参考文献：《Emerging protein degradation strategies: expanding the scope to extracellular and membrane proteins》[5]）。</w:t>
      </w:r>
    </w:p>
    <w:p>
      <w:pPr>
        <w:spacing w:line="360" w:lineRule="auto" w:after="120"/>
        <w:ind w:firstLine="420"/>
        <w:jc w:val="both"/>
      </w:pPr>
      <w:r>
        <w:rPr>
          <w:rFonts w:ascii="Times New Roman" w:hAnsi="Times New Roman" w:eastAsia="仿宋"/>
          <w:b w:val="0"/>
          <w:sz w:val="24"/>
        </w:rPr>
        <w:t>与抗体阻断不同，LYTAC属于事件驱动型策略，结合剂无需抑制靶蛋白活性，只要有效捕获就能启动降解程序。降解发生在溶酶体后，靶蛋白的膜信号传导和胞外相互作用可同时终止，这一机制差异是后续降解是否优于阻断比较的生物学基础（参考文献：《Targeted degradation of membrane and extracellular proteins with LYTACs》[6]）。</w:t>
      </w:r>
    </w:p>
    <w:p>
      <w:pPr>
        <w:spacing w:line="360" w:lineRule="auto" w:after="120"/>
        <w:ind w:firstLine="420"/>
        <w:jc w:val="both"/>
      </w:pPr>
      <w:r>
        <w:rPr>
          <w:rFonts w:ascii="Times New Roman" w:hAnsi="Times New Roman" w:eastAsia="仿宋"/>
          <w:b w:val="0"/>
          <w:sz w:val="24"/>
        </w:rPr>
        <w:t>验证溶酶体途径通常需联合溶酶体抑制剂、受体敲除或配体竞争，以及遗传学筛选鉴定内吞分选相关基因。Banik等通过CRISPR干扰筛选发现，exocyst复合体参与调控CI-M6PR的膜面呈现，由此可以看出受体可及性本身会是降解效率的上游决定因素。</w:t>
      </w:r>
    </w:p>
    <w:p>
      <w:pPr>
        <w:spacing w:line="360" w:lineRule="auto" w:after="120"/>
        <w:ind w:firstLine="420"/>
        <w:jc w:val="both"/>
      </w:pPr>
      <w:r>
        <w:rPr>
          <w:rFonts w:ascii="Times New Roman" w:hAnsi="Times New Roman" w:eastAsia="仿宋"/>
          <w:b w:val="0"/>
          <w:sz w:val="24"/>
        </w:rPr>
        <w:t>依组织分布与功能特征，可将LTR归纳为三类并据此建立受体选择决策框架。</w:t>
      </w:r>
    </w:p>
    <w:p>
      <w:pPr>
        <w:spacing w:line="360" w:lineRule="auto" w:after="120"/>
        <w:ind w:firstLine="420"/>
        <w:jc w:val="both"/>
      </w:pPr>
      <w:r>
        <w:rPr>
          <w:rFonts w:ascii="Times New Roman" w:hAnsi="Times New Roman" w:eastAsia="仿宋"/>
          <w:b w:val="0"/>
          <w:sz w:val="24"/>
        </w:rPr>
        <w:t>广谱型受体的代表是CI-M6PR（IGF2R）：在多种组织均有表达，内吞效率较高，适合不需要严格组织靶向、且可接受一定脱靶风险的场景。Huang等通过内源性配体竞争实验揭示，细胞内M6P修饰糖蛋白可与外源配体竞争CI-M6PR结合位点，是广谱受体路线中值得重视的生物学限制。该发现意味着即便分子亲和力很高，内源性受体占用可能会限制降解效率，在解读体外降解数据时也需考虑受体的竞争状态（参考文献：《Designed endocytosis-inducing proteins degrade targets and amplify signals》[7]）。</w:t>
      </w:r>
    </w:p>
    <w:p>
      <w:pPr>
        <w:spacing w:line="360" w:lineRule="auto" w:after="120"/>
        <w:ind w:firstLine="420"/>
        <w:jc w:val="both"/>
      </w:pPr>
      <w:r>
        <w:rPr>
          <w:rFonts w:ascii="Times New Roman" w:hAnsi="Times New Roman" w:eastAsia="仿宋"/>
          <w:b w:val="0"/>
          <w:sz w:val="24"/>
        </w:rPr>
        <w:t>组织定向型受体的代表是ASGPR：其表达集中于肝细胞，可将内吞-降解过程限制在肝脏微环境，降解位置可控、全身脱靶风险相对较低。当治疗目标为肝内靶蛋白或需降低全身脱靶时，可以优先评估ASGPR通路；当靶蛋白分布广泛或需作用于非肝组织时，则需转向其他LTR。</w:t>
      </w:r>
    </w:p>
    <w:p>
      <w:pPr>
        <w:spacing w:line="360" w:lineRule="auto" w:after="120"/>
        <w:ind w:firstLine="420"/>
        <w:jc w:val="both"/>
      </w:pPr>
      <w:r>
        <w:rPr>
          <w:rFonts w:ascii="Times New Roman" w:hAnsi="Times New Roman" w:eastAsia="仿宋"/>
          <w:b w:val="0"/>
          <w:sz w:val="24"/>
        </w:rPr>
        <w:t>第三类是可拓展型受体，指那些目前研究还不多、但未来有可能用于组织靶向的受体，如整合素、清道夫受体等。其组织表达谱各不相同，相关降解策略还处在探索阶段，但为非常规组织靶向提供了潜在选项。选择可拓展型受体时，需要重点测试其在靶组织的表达丰度、内吞效率及与靶蛋白的共定位条件，避免因受体数据不完整而导致降解位置偏离预期。以上是按受体类型进行粗略分类的框架，但在实际研发中，某一靶点究竟适合哪类受体，还需结合靶蛋白和疾病场景做逐项评估。</w:t>
      </w:r>
    </w:p>
    <w:p>
      <w:pPr>
        <w:spacing w:line="360" w:lineRule="auto" w:after="120"/>
        <w:ind w:firstLine="420"/>
        <w:jc w:val="both"/>
      </w:pPr>
      <w:r>
        <w:rPr>
          <w:rFonts w:ascii="Times New Roman" w:hAnsi="Times New Roman" w:eastAsia="仿宋"/>
          <w:b w:val="0"/>
          <w:sz w:val="24"/>
        </w:rPr>
        <w:t>Zhao等将溶酶体途径定位为拓展靶向蛋白降解（TPD）靶点范围的重要方向，指出胞外及膜蛋白在蛋白质组中的比例是LYTAC存在的结构性需求。在实际决策中，建议按以下顺序评估：（1）靶蛋白的细胞外定位与更新速率；（2）靶标组织的LTR表达谱；（3）可接受的脱靶降解范围；（4）内源性配体竞争与受体回收动力学（参考文献：《Targeted protein degradation: mechanisms, strategies and application》[8]）。</w:t>
      </w:r>
    </w:p>
    <w:p>
      <w:pPr>
        <w:spacing w:line="360" w:lineRule="auto" w:after="120"/>
        <w:ind w:firstLine="420"/>
        <w:jc w:val="both"/>
      </w:pPr>
      <w:r>
        <w:rPr>
          <w:rFonts w:ascii="Times New Roman" w:hAnsi="Times New Roman" w:eastAsia="仿宋"/>
          <w:b w:val="0"/>
          <w:sz w:val="24"/>
        </w:rPr>
        <w:t>对于膜蛋白靶点，还需关注其与LTR在同一细胞表面的空间距离和共定位关系，因为这将影响三元复合物形成的几何可行性。从疾病相关靶点分布看，PD-L1、EGFR和HER2等膜蛋白在肿瘤中表达异质性高，CI-M6PR广谱降解可能带来肿瘤外组织脱靶；Aβ等靶点则涉及分泌蛋白或聚集体的清除，对受体通量和局部给药策略提出不同要求。因此，受体决策框架必须与具体疾病场景联用，不能脱离靶点生物学单独优化分子结构（参考文献：《Biomarker-activated multifunctional lysosome-targeting chimeras mediated selective degradation of extracellular amyloid fibrils》[9]）。</w:t>
      </w:r>
    </w:p>
    <w:p>
      <w:pPr>
        <w:spacing w:line="360" w:lineRule="auto" w:after="120"/>
        <w:ind w:firstLine="420"/>
        <w:jc w:val="both"/>
      </w:pPr>
      <w:r>
        <w:rPr>
          <w:rFonts w:ascii="Times New Roman" w:hAnsi="Times New Roman" w:eastAsia="仿宋"/>
          <w:b w:val="0"/>
          <w:sz w:val="24"/>
        </w:rPr>
        <w:t>在评价降解效率时，还需区分"受体结合亲和力"与"实际降解效率"两个方面。高亲和力仅保证三元复合物形成，而实际降解效率取决于内吞速率、溶酶体分选效率和受体回收动力学的综合平衡。同一LYTAC在不同细胞系中降解效率的差异，往往是由第二个因素决定的。</w:t>
      </w:r>
    </w:p>
    <w:p>
      <w:pPr>
        <w:spacing w:line="360" w:lineRule="auto" w:after="120"/>
        <w:ind w:firstLine="420"/>
        <w:jc w:val="both"/>
      </w:pPr>
      <w:r>
        <w:rPr>
          <w:rFonts w:ascii="Times New Roman" w:hAnsi="Times New Roman" w:eastAsia="仿宋"/>
          <w:b w:val="0"/>
          <w:sz w:val="24"/>
        </w:rPr>
        <w:t>受体表达密度与膜周转速率也是影响LYTAC受体选择的重要生物学变量：在受体表达水平较低的细胞系中，即便配体亲和力很高，有效三元复合物形成的概率仍可能受限；在膜周转较快的细胞中，内吞效率较高但受体回收亦更活跃，需通过时间分辨的降解动力学实验进行区分。对于分泌蛋白靶点，分泌蛋白在胞外处于合成、分泌与清除的持续动态中，降解剂能否在稳态下将其维持在低水平，取决于这一动态平衡，这与膜蛋白靶点的评估逻辑有本质不同。</w:t>
      </w:r>
    </w:p>
    <w:p>
      <w:pPr>
        <w:spacing w:line="360" w:lineRule="auto" w:after="120"/>
        <w:ind w:firstLine="420"/>
        <w:jc w:val="both"/>
      </w:pPr>
      <w:r>
        <w:rPr>
          <w:rFonts w:ascii="Times New Roman" w:hAnsi="Times New Roman" w:eastAsia="仿宋"/>
          <w:b w:val="0"/>
          <w:sz w:val="24"/>
        </w:rPr>
        <w:t>LYTAC疗效的关键瓶颈不在于靶蛋白能否被结合，而在于所选LTR的组织分布、内吞效率、内体分选倾向及内源性配体竞争是否与疾病场景匹配。受体选择应作为药物设计的首要决策节点。第二节将分别介绍对应上述受体类型的分子工程实现路径。在跨物种转化时，还需注意LTR表达谱和溶酶体分选机器在人源细胞与常用细胞系之间的差异，避免将体外筛选得到的"最优受体"直接等同于临床适用方案。这一原则同样适用于解读不同细胞系间的降解效率差异。受体回收动力学与溶酶体分选效率的联立评估，是区分"结合成功"与"降解成功"的关键实验环节之一。</w:t>
      </w:r>
    </w:p>
    <w:p>
      <w:pPr>
        <w:spacing w:line="360" w:lineRule="auto" w:after="120"/>
        <w:ind w:firstLine="420"/>
        <w:jc w:val="both"/>
      </w:pPr>
      <w:r>
        <w:rPr>
          <w:rFonts w:ascii="Times New Roman" w:hAnsi="Times New Roman" w:eastAsia="仿宋"/>
          <w:b w:val="0"/>
          <w:sz w:val="24"/>
        </w:rPr>
        <w:t>综合上述三类受体的特征与应用场景，LYTAC的受体选择可按以下逻辑进行判断：若追求最大靶蛋白覆盖且可接受脱靶风险，优先考虑CI-M6PR体系；若需肝定向降解，选择ASGPR通路；若现有LTR难以匹配靶组织表达谱，可评估整合素、清道夫受体等可拓展型受体。</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图1  内体分选决定LYTAC-受体复合物进入溶酶体降解或回收至细胞膜，说明降解效率取决于分选-回收通量竞争而非单纯的受体结合亲和力。（引自：Banik S M, et al. Nature, 2020, 584(7820): 291-297）</w:t>
      </w:r>
    </w:p>
    <w:p>
      <w:pPr>
        <w:spacing w:before="240" w:after="120" w:line="360" w:lineRule="auto"/>
        <w:ind w:firstLine="0"/>
        <w:jc w:val="left"/>
      </w:pPr>
      <w:r>
        <w:rPr>
          <w:rFonts w:ascii="Times New Roman" w:hAnsi="Times New Roman" w:eastAsia="仿宋"/>
          <w:b/>
          <w:sz w:val="24"/>
        </w:rPr>
        <w:t>二、LYTAC的模块化分子工程设计</w:t>
      </w:r>
    </w:p>
    <w:p>
      <w:pPr>
        <w:spacing w:line="360" w:lineRule="auto" w:after="120"/>
        <w:ind w:firstLine="420"/>
        <w:jc w:val="both"/>
      </w:pPr>
      <w:r>
        <w:rPr>
          <w:rFonts w:ascii="Times New Roman" w:hAnsi="Times New Roman" w:eastAsia="仿宋"/>
          <w:b w:val="0"/>
          <w:sz w:val="24"/>
        </w:rPr>
        <w:t>第一节确定受体类型之后，LYTAC分子便可拆解为三个可独立替换的功能模块：靶向臂负责结合靶蛋白，受体臂负责触发内吞与溶酶体分选，连接子则调控两模块的间距与偶联均一性。三模块彼此解耦，使LYTAC具备平台化属性——同一受体臂可搭配不同靶向臂以切换靶点，同一靶向臂亦可更换受体臂以改变组织分布，而不是为每个靶点从头设计全新分子。</w:t>
      </w:r>
    </w:p>
    <w:p>
      <w:pPr>
        <w:spacing w:line="360" w:lineRule="auto" w:after="120"/>
        <w:ind w:firstLine="420"/>
        <w:jc w:val="both"/>
      </w:pPr>
      <w:r>
        <w:rPr>
          <w:rFonts w:ascii="Times New Roman" w:hAnsi="Times New Roman" w:eastAsia="仿宋"/>
          <w:b w:val="0"/>
          <w:sz w:val="24"/>
        </w:rPr>
        <w:t>靶向臂的可选范围已从抗体扩展至小分子、肽段、适体和基因编码结合蛋白。抗体亲和力强、制备路线成熟，是多数早期平台的默认选择。小分子与肽段分子量较低、组织渗透性较好，Caianiello等的MoDE-A以双功能小分子同时结合靶蛋白和ASGPR，实现了整合素等靶点的溶酶体降解（参考文献：《Bifunctional small molecules that mediate the degradation of extracellular proteins》[14]）。适体兼具合成简便和可化学修饰的优势，Wu等以适体连接tri-GalNAc，在肝细胞中实现了PDGF和PTK7的降解（参考文献：《Aptamer-LYTACs for targeted degradation of extracellular and membrane proteins》[13]）。基因编码结合蛋白（affibody、纳米抗体、IgG结合Z结构域等）可与受体臂融合表达，缩短靶点切换周期：Zhang等的iLYTAC以多种结合蛋白为靶向臂、IGF2为受体臂，覆盖EGFR、PD-L1、CD20和α-突触核蛋白等靶点（参考文献：《Insulin-like Growth Factor 2 (IGF2)-Fused Lysosomal Targeting Chimeras for Degradation of Extracellular and Membrane Proteins》[15]）。以上是靶向臂的主要类型，实际选择时需在亲和力、分子量、可修饰性和制备成本之间权衡：较小分子量的靶向臂有利于组织渗透，高亲和力抗体或共价适体则更有利于维持高更新速率靶点的降解通量。</w:t>
      </w:r>
    </w:p>
    <w:p>
      <w:pPr>
        <w:spacing w:line="360" w:lineRule="auto" w:after="120"/>
        <w:ind w:firstLine="420"/>
        <w:jc w:val="both"/>
      </w:pPr>
      <w:r>
        <w:rPr>
          <w:rFonts w:ascii="Times New Roman" w:hAnsi="Times New Roman" w:eastAsia="仿宋"/>
          <w:b w:val="0"/>
          <w:sz w:val="24"/>
        </w:rPr>
        <w:t>受体臂的工程实现可按"化学偶联"与"基因编码"两条主线理解，并应以前述第一节的受体生物学依据为选型前提。基于CI-M6PR广谱受体，化学偶联路线以多价M6P聚糖为典型受体臂；Kim等以糖工程酵母发酵制备人源兼容的gyM6pG聚糖，通过无铜点击化学与纳米抗体偶联，在沿用CI-M6PR受体臂的同时降低了聚糖合成门槛（参考文献：《Lysosome-Targeting Chimera Using Mannose-6-Phosphate Glycans Derived from Glyco-Engineered Yeast》[16]）。基于ASGPR肝靶向受体，化学偶联路线主要采用tri-GalNAc配体与靶向臂偶联。基因编码受体臂绕开复杂聚糖化学，适合需要频繁切换靶点的发现阶段：Pance等以双特异性蛋白为骨架，一条臂结合细胞因子受体（如CXCR7），另一条臂结合靶蛋白，利用CXCL12等配体触发受体内吞，针对多个靶点构建KineTAC，降解效率介于51%至93%之间，且可通过哺乳动物细胞表达生产（参考文献：《Modular cytokine receptor-targeting chimeras for targeted degradation of cell surface and extracellular proteins》[11]）。该策略将受体臂功能嵌入天然内吞过程，但需评估配体占用对受体生理信号传导的干扰。此外，Fang等的SignalTAC将CI-M6PR来源的酪氨酸基内吞信号肽P3与靶蛋白结合模块融合，在不依赖外源聚糖配体的情况下诱导靶蛋白溶酶体降解（参考文献：《Lysosome-targeting chimeras containing an endocytic signaling motif trigger endocytosis and lysosomal degradation of cell-surface proteins》[17]）。该路线将受体臂功能转化为内源性分选信号，组织定向性取决于内吞信号来源与靶细胞分选机器的差异。</w:t>
      </w:r>
    </w:p>
    <w:p>
      <w:pPr>
        <w:spacing w:line="360" w:lineRule="auto" w:after="120"/>
        <w:ind w:firstLine="420"/>
        <w:jc w:val="both"/>
      </w:pPr>
      <w:r>
        <w:rPr>
          <w:rFonts w:ascii="Times New Roman" w:hAnsi="Times New Roman" w:eastAsia="仿宋"/>
          <w:b w:val="0"/>
          <w:sz w:val="24"/>
        </w:rPr>
        <w:t>连接子模块决定两个功能臂的空间排布与偶联均一性，其设计并非独立的化学细节，而是与靶向臂-受体臂组合能否形成有效三元复合物直接相关。化学偶联路线中，偶联位点和偶联数不一致会直接影响降解活性重现性；基因编码路线中，柔性肽链的长度和氨基酸组成影响融合蛋白的表达与折叠。</w:t>
      </w:r>
    </w:p>
    <w:p>
      <w:pPr>
        <w:spacing w:line="360" w:lineRule="auto" w:after="120"/>
        <w:ind w:firstLine="420"/>
        <w:jc w:val="both"/>
      </w:pPr>
      <w:r>
        <w:rPr>
          <w:rFonts w:ascii="Times New Roman" w:hAnsi="Times New Roman" w:eastAsia="仿宋"/>
          <w:b w:val="0"/>
          <w:sz w:val="24"/>
        </w:rPr>
        <w:t>按三模块组合逻辑，现有LYTAC变体可归纳为聚糖-抗体、GalNAc-肝靶向、适体-共价、双特异性蛋白和小分子-受体等典型平台，制备路线则可分为化学偶联聚糖臂、化学合成小分子臂和基因编码蛋白臂三条主线。各平台在制备难度、靶点切换灵活性和组织定向能力上各有权衡，选择时应与第一节确定的受体类型和疾病场景相匹配，而不是单纯追求体外降解率最高。发现阶段可优先评估KineTAC或iLYTAC等基因编码平台；需要精细调节配体价态和连接子长度的优化阶段，则更适合化学偶联平台。无论采用哪条制备主线，均需在临床前阶段明确关键质量属性与降解活性的关联，否则难以支撑工艺放大和监管申报。</w:t>
      </w:r>
    </w:p>
    <w:p>
      <w:pPr>
        <w:spacing w:line="360" w:lineRule="auto" w:after="120"/>
        <w:ind w:firstLine="420"/>
        <w:jc w:val="both"/>
      </w:pPr>
      <w:r>
        <w:rPr>
          <w:rFonts w:ascii="Times New Roman" w:hAnsi="Times New Roman" w:eastAsia="仿宋"/>
          <w:b w:val="0"/>
          <w:sz w:val="24"/>
        </w:rPr>
        <w:t>以下四篇代表性研究分别从"能否降解""在哪里降解""如何模块化生产"和"降解是否优于阻断"四个角度，对上述工程选项做了递进式验证。</w:t>
      </w:r>
    </w:p>
    <w:p>
      <w:pPr>
        <w:spacing w:line="360" w:lineRule="auto" w:after="120"/>
        <w:ind w:firstLine="420"/>
        <w:jc w:val="both"/>
      </w:pPr>
      <w:r>
        <w:rPr>
          <w:rFonts w:ascii="Times New Roman" w:hAnsi="Times New Roman" w:eastAsia="仿宋"/>
          <w:b w:val="0"/>
          <w:sz w:val="24"/>
        </w:rPr>
        <w:t>Banik等（2020）将靶向模块（抗体或小分子）与CI-M6PR配体（多价M6P聚糖）通过连接子偶联，构成典型的"靶向臂-受体臂-连接子"架构，直接对应第一节所述广谱型受体路线。实验结果显示，LYTAC可在数小时内显著降低EGFR、CD71、PD-L1及ApoE4等蛋白水平，溶酶体抑制剂可阻断该效应，确证了溶酶体途径依赖性；PD-L1被降解后肿瘤细胞免疫逃逸能力减弱，首次将LYTAC与肿瘤免疫调控联系起来。CRISPR干扰筛选还发现exocyst复合体参与CI-M6PR膜面呈现，由此可以看出LYTAC研究不能脱离对受体可及性的生物学解析。该工作证明了溶酶体降解路线可推广至多个疾病相关靶点，并为后续研究建立了溶酶体抑制剂确证、受体配体竞争和遗传学筛选并行的实验范式；其局限在于分子依赖化学合成聚糖，制备均一性和放大生产仍是后续平台分化需要解决的问题（参考文献：《Lysosome-targeting chimaeras for degradation of extracellular proteins》[2]）。</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图2  Banik等设计的LYTAC分子结构（左）及其对EGFR和PD-L1的降解效果（右），表明三模块架构可适用于多种膜蛋白靶点。（引自：Banik S M, et al. Nature, 2020, 584(7820): 291-297）</w:t>
      </w:r>
    </w:p>
    <w:p>
      <w:pPr>
        <w:spacing w:line="360" w:lineRule="auto" w:after="120"/>
        <w:ind w:firstLine="420"/>
        <w:jc w:val="both"/>
      </w:pPr>
      <w:r>
        <w:rPr>
          <w:rFonts w:ascii="Times New Roman" w:hAnsi="Times New Roman" w:eastAsia="仿宋"/>
          <w:b w:val="0"/>
          <w:sz w:val="24"/>
        </w:rPr>
        <w:t>Ahn等（2021）面对的是第一代CI-M6PR依赖LYTAC全身脱靶风险较高的问题。作者将受体臂替换为肝特异性ASGPR的tri-GalNAc配体，构建GalNAc-LYTAC，靶向臂仍结合EGFR，直接落实了第一节"组织定向型受体"的决策逻辑。GalNAc-LYTAC在肝细胞中实现EGFR高效降解；与抑制性抗体相比，对EGFR下游信号抑制更持久，说明降解策略在持续时间上可能优于单纯阻断。研究还将肽段作为靶向臂降解整合素，证明靶向模块不必局限于完整抗体；通过在抗体Fc区定点偶联tri-GalNAc，改善了分子的体内稳定性。值得重视的是，降解在哪里发生，取决于结合哪个受体，而不是仅仅取决于靶向臂亲和力（参考文献：《LYTACs that engage the asialoglycoprotein receptor for targeted protein degradation》[10]）。</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图3  Ahn等GalNAc-LYTAC的肝定向降解示意及EGFR下游信号抑制时程，表明受体臂更换可将降解限制在肝脏并延长药效持续时间。（引自：Ahn G, et al. Nat Chem Biol, 2021, 17(9): 937-946）</w:t>
      </w:r>
    </w:p>
    <w:p>
      <w:pPr>
        <w:spacing w:line="360" w:lineRule="auto" w:after="120"/>
        <w:ind w:firstLine="420"/>
        <w:jc w:val="both"/>
      </w:pPr>
      <w:r>
        <w:rPr>
          <w:rFonts w:ascii="Times New Roman" w:hAnsi="Times New Roman" w:eastAsia="仿宋"/>
          <w:b w:val="0"/>
          <w:sz w:val="24"/>
        </w:rPr>
        <w:t>Pance等（2023）试图以基因编码方式解决化学合成聚糖-蛋白LYTAC在制备均一性和靶点切换速度方面的瓶颈。作者以双特异性蛋白为骨架，利用CXCL12等配体触发受体内吞，将受体臂功能嵌入天然内吞过程，绕开了CI-M6PR路线的内源性配体竞争问题，但引入了对细胞因子受体生理功能的占用风险。该平台针对PD-L1、HER2、PD-1、EGFR、CDCP1和TROP2等靶点构建KineTAC，降解效率介于51%至93%之间，且可通过哺乳动物细胞表达生产，更换靶蛋白结合臂无需重新进行聚糖化学合成。KineTAC为化学LYTAC提供了基因编码替代路线，特别适合发现阶段需要频繁筛选靶点的场景；然而，该平台尚未系统比较降解剂与阻断抗体的功能差异，其向GMP生产体系迁移时的质控标准也有待建立（参考文献：《Modular cytokine receptor-targeting chimeras for targeted degradation of cell surface and extracellular proteins》[11]）。</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图4  Pance等KineTAC的模块化架构及多靶点降解效率，表明更换靶向臂即可在保留受体臂的前提下切换靶蛋白。（引自：Pance K, et al. Nat Biotechnol, 2023, 41(2): 273-281）</w:t>
      </w:r>
    </w:p>
    <w:p>
      <w:pPr>
        <w:spacing w:line="360" w:lineRule="auto" w:after="120"/>
        <w:ind w:firstLine="420"/>
        <w:jc w:val="both"/>
      </w:pPr>
      <w:r>
        <w:rPr>
          <w:rFonts w:ascii="Times New Roman" w:hAnsi="Times New Roman" w:eastAsia="仿宋"/>
          <w:b w:val="0"/>
          <w:sz w:val="24"/>
        </w:rPr>
        <w:t>Li等（2023）将问题聚焦于PD-L1这一免疫检查点靶点。临床以抗体阻断为主，但高表达靶蛋白可持续补充膜面水平，降解策略能否在体内产生优于阻断的免疫激活效应，是这一方向值得追问的问题。作者设计DNA适体靶向PD-L1，通过生物正交反应增强适体与靶蛋白的共价结合，再偶联溶酶体靶向模块，同时优化了靶向臂的结合稳定性和降解的功能终点。在肿瘤动物模型中，共价适体LYTAC不仅显著降低PD-L1水平，还诱导了强于抗PD-L1抗体的T细胞浸润和细胞因子释放，直接提供了"降解优于阻断"的体内证据。该工作将LYTAC研究从细胞水平推进至动物药效验证，说明评价临床转化潜力不能仅依赖体外蛋白清除数据，还需考察免疫功能等功能终点；适体靶向臂在体内仍面临核酸酶降解和肾脏快速清除等问题，需要通过化学修饰或递送策略进一步改善（参考文献：《Covalent LYTAC enabled by DNA aptamers for immune checkpoint degradation therapy》[12]）。</w:t>
      </w:r>
    </w:p>
    <w:p>
      <w:pPr>
        <w:spacing w:line="360" w:lineRule="auto" w:after="120"/>
        <w:ind w:firstLine="0"/>
        <w:jc w:val="center"/>
      </w:pPr>
      <w:r>
        <w:rPr>
          <w:rFonts w:ascii="Times New Roman" w:hAnsi="Times New Roman" w:eastAsia="仿宋"/>
          <w:b w:val="0"/>
          <w:sz w:val="24"/>
        </w:rPr>
        <w:t>【此处插入示意图】</w:t>
      </w:r>
    </w:p>
    <w:p>
      <w:pPr>
        <w:spacing w:line="360" w:lineRule="auto" w:after="120"/>
        <w:ind w:firstLine="0"/>
        <w:jc w:val="center"/>
      </w:pPr>
      <w:r>
        <w:rPr>
          <w:rFonts w:ascii="Times New Roman" w:hAnsi="Times New Roman" w:eastAsia="仿宋"/>
          <w:b w:val="0"/>
          <w:sz w:val="21"/>
        </w:rPr>
        <w:t>图5  Li等共价适体LYTAC在肿瘤模型中的PD-L1清除及T细胞浸润，表明降解策略可在体内产生优于抗体阻断的免疫激活效应。（引自：Li Y, et al. J Am Chem Soc, 2023, 145(45): 24506-24521）</w:t>
      </w:r>
    </w:p>
    <w:p>
      <w:pPr>
        <w:spacing w:line="360" w:lineRule="auto" w:after="120"/>
        <w:ind w:firstLine="420"/>
        <w:jc w:val="both"/>
      </w:pPr>
      <w:r>
        <w:rPr>
          <w:rFonts w:ascii="Times New Roman" w:hAnsi="Times New Roman" w:eastAsia="仿宋"/>
          <w:b w:val="0"/>
          <w:sz w:val="24"/>
        </w:rPr>
        <w:t>综合上述模块类型与四篇实例，LYTAC并非单一分子类型的线性迭代，而是以靶向臂、受体臂和连接子三模块为基础的可组合平台。药物设计应先在第一节受体决策框架内确定受体臂类型，再匹配适宜的靶向臂和连接子策略；同一靶点在不同疾病分期、不同给药途径或联合用药背景下，最优受体臂与制备路线也可能发生变化。比较不同工程策略时，应尽量固定靶向臂和连接子条件，仅改变受体臂类型，以避免将模块差异误判为受体生物学差异。以上是第二节对模块化分子工程的基本梳理，第三节将进一步讨论这些设计在疾病模型中的验证证据。</w:t>
      </w:r>
    </w:p>
    <w:p>
      <w:pPr>
        <w:spacing w:before="240" w:after="120" w:line="360" w:lineRule="auto"/>
        <w:ind w:firstLine="0"/>
        <w:jc w:val="left"/>
      </w:pPr>
      <w:r>
        <w:rPr>
          <w:rFonts w:ascii="Times New Roman" w:hAnsi="Times New Roman" w:eastAsia="仿宋"/>
          <w:b/>
          <w:sz w:val="24"/>
        </w:rPr>
        <w:t>三、疾病模型中的应用验证：降解优于阻断的证据与局限</w:t>
      </w:r>
    </w:p>
    <w:p>
      <w:pPr>
        <w:spacing w:line="360" w:lineRule="auto" w:after="120"/>
        <w:ind w:firstLine="420"/>
        <w:jc w:val="both"/>
      </w:pPr>
      <w:r>
        <w:rPr>
          <w:rFonts w:ascii="Times New Roman" w:hAnsi="Times New Roman" w:eastAsia="仿宋"/>
          <w:b w:val="0"/>
          <w:sz w:val="24"/>
        </w:rPr>
        <w:t>前两节分别从受体生物学和分子工程角度建立了LYTAC的分析框架，本节转向疾病场景，评估降解策略相对单纯阻断可能带来哪些增益，以及目前证据尚不足以支持哪些外推。评价时不宜用同一标准衡量所有适应症，而应根据靶蛋白清除幅度、下游信号抑制持续时间、免疫功能激活程度及全身脱靶风险等指标，结合具体疾病场景逐项判断。</w:t>
      </w:r>
    </w:p>
    <w:p>
      <w:pPr>
        <w:spacing w:line="360" w:lineRule="auto" w:after="120"/>
        <w:ind w:firstLine="420"/>
        <w:jc w:val="both"/>
      </w:pPr>
      <w:r>
        <w:rPr>
          <w:rFonts w:ascii="Times New Roman" w:hAnsi="Times New Roman" w:eastAsia="仿宋"/>
          <w:b w:val="0"/>
          <w:sz w:val="24"/>
        </w:rPr>
        <w:t>在肿瘤免疫方向，PD-L1是最具代表性的比较靶点。第二节已述Banik等首次证明PD-L1可被LYTAC降解，Li等的共价适体LYTAC在肿瘤模型中诱导了强于抗PD-L1抗体的T细胞浸润和细胞因子释放。此外，Huang等的EndoTag融合PD-L1抗体在小鼠肿瘤模型中的疗效显著优于抗体单药（参考文献：《Designed endocytosis-inducing proteins degrade targets and amplify signals》[7]）；Kim等的LYTACgyM6pG降解PD-L1后，增强T细胞杀伤肿瘤细胞的效率高于纳米抗体单用（参考文献：《Lysosome-Targeting Chimera Using Mannose-6-Phosphate Glycans Derived from Glyco-Engineered Yeast》[16]）。上述结果支持：在PD-L1靶点上，降解策略在激活抗肿瘤免疫方面可能具有超越阻断的增益，但该结论目前仍限于动物模型，人体验证尚缺。在肿瘤膜蛋白靶点拓展方面，Pance等的KineTAC在HER2、TROP2等靶点上实现了51%—93%的降解效率；Zhang等的iLYTAC在异种移植瘤模型中验证了抗肿瘤活性。对于高更新速率的膜蛋白靶点，仍须评估靶蛋白重新合成是否会抵消降解效应，需在长期给药实验中加以考察。</w:t>
      </w:r>
    </w:p>
    <w:p>
      <w:pPr>
        <w:spacing w:line="360" w:lineRule="auto" w:after="120"/>
        <w:ind w:firstLine="420"/>
        <w:jc w:val="both"/>
      </w:pPr>
      <w:r>
        <w:rPr>
          <w:rFonts w:ascii="Times New Roman" w:hAnsi="Times New Roman" w:eastAsia="仿宋"/>
          <w:b w:val="0"/>
          <w:sz w:val="24"/>
        </w:rPr>
        <w:t>在肝靶向方向，第二节Ahn实例已表明GalNAc-LYTAC对EGFR下游信号的抑制较抗体更持久；Wu等的Apt-LYTAC在肝细胞中实现了PDGF和PTK7的降解，证明适体靶向臂与肝定向受体臂的组合具有可行性。肝靶向场景下，降解的增益主要体现在局部靶蛋白清除和全身脱靶风险降低，而不是与阻断剂的头对头药效比较——肝定向的价值首先体现在"在哪里降解"，其次才是"降解多少"。</w:t>
      </w:r>
    </w:p>
    <w:p>
      <w:pPr>
        <w:spacing w:line="360" w:lineRule="auto" w:after="120"/>
        <w:ind w:firstLine="420"/>
        <w:jc w:val="both"/>
      </w:pPr>
      <w:r>
        <w:rPr>
          <w:rFonts w:ascii="Times New Roman" w:hAnsi="Times New Roman" w:eastAsia="仿宋"/>
          <w:b w:val="0"/>
          <w:sz w:val="24"/>
        </w:rPr>
        <w:t>在药效学评价方法上，建议将"蛋白清除动力学"与"功能终点"联合考察：前者反映降解机制是否有效，后者反映降解是否产生预期的生物学后果。仅报告某一时间点的蛋白残留百分比，不足以支持降解优于阻断的判断。Li等和Fang等的研究分别从免疫检查点和膜蛋白靶点提供了"功能终点优于阻断对照"的体内证据，但其外推范围仍受动物模型和给药方案所限。疾病验证不能停留在"蛋白下降了百分之几"，而必须追问"下降之后产生了什么生物学后果"。</w:t>
      </w:r>
    </w:p>
    <w:p>
      <w:pPr>
        <w:spacing w:line="360" w:lineRule="auto" w:after="120"/>
        <w:ind w:firstLine="420"/>
        <w:jc w:val="both"/>
      </w:pPr>
      <w:r>
        <w:rPr>
          <w:rFonts w:ascii="Times New Roman" w:hAnsi="Times New Roman" w:eastAsia="仿宋"/>
          <w:b w:val="0"/>
          <w:sz w:val="24"/>
        </w:rPr>
        <w:t>在神经退行性疾病方向，Liu等设计了病灶激活LYTAC前体：利用Aβ沉积区铜离子催化点击反应原位生成活性分子，经CD206受体介导Aβ纤维溶酶体降解（参考文献：《Biomarker-activated multifunctional lysosome-targeting chimeras mediated selective degradation of extracellular amyloid fibrils》[9]）。该领域尚缺乏降解与阻断的直接对照实验，但病灶激活策略本身旨在解决全身给药脱靶这一阻断策略难以回避的问题。对于分泌蛋白和聚集体靶点，评价逻辑需从"膜蛋白清除"转向"胞外池耗竭"，病理沉积物的清除效率是核心终点，而不是与传统抑制剂的活性比较。</w:t>
      </w:r>
    </w:p>
    <w:p>
      <w:pPr>
        <w:spacing w:line="360" w:lineRule="auto" w:after="120"/>
        <w:ind w:firstLine="420"/>
        <w:jc w:val="both"/>
      </w:pPr>
      <w:r>
        <w:rPr>
          <w:rFonts w:ascii="Times New Roman" w:hAnsi="Times New Roman" w:eastAsia="仿宋"/>
          <w:b w:val="0"/>
          <w:sz w:val="24"/>
        </w:rPr>
        <w:t>在自身免疫与炎症方向，胞外细胞因子和免疫球蛋白等靶点理论上亦适合LYTAC降解，但公开文献中系统的体内验证仍较少，可能是后续拓展适应症的重要方向。跨疾病比较可见，降解优于阻断的证据在PD-L1肿瘤免疫中最为充分；肝靶向场景的优势主要体现在组织选择性而非药效幅度；神经退行性疾病则尚处于概念验证阶段。LYTAC的价值主张应与其所针对的靶点更新动力学相匹配：对于更新快、持续补充的免疫检查点蛋白，彻底清除可能比单纯阻断更具优势；对于需要局部干预的肝代谢靶点，组织定向降解的价值主要体现在安全性；对于聚集体和纤维状靶点，核心指标是病理沉积物的清除效率。建立疾病场景特异性的评价标准，有助于避免将肿瘤免疫领域的结论不加区分地外推至其他适应症领域。现有动物实验支持PD-L1降解在免疫激活上优于单纯阻断；肝靶向和神经退行性疾病方向的证据侧重于可行性与局部选择性，尚不足以普遍外推"降解优于阻断"的结论。后续研究需在各疾病场景中建立降解剂与阻断剂的标准化头对头比较，且比较设计应纳入功能终点而不仅是蛋白清除百分比。</w:t>
      </w:r>
    </w:p>
    <w:p>
      <w:pPr>
        <w:spacing w:before="240" w:after="120" w:line="360" w:lineRule="auto"/>
        <w:ind w:firstLine="0"/>
        <w:jc w:val="left"/>
      </w:pPr>
      <w:r>
        <w:rPr>
          <w:rFonts w:ascii="Times New Roman" w:hAnsi="Times New Roman" w:eastAsia="仿宋"/>
          <w:b/>
          <w:sz w:val="24"/>
        </w:rPr>
        <w:t>四、转化瓶颈与发展展望</w:t>
      </w:r>
    </w:p>
    <w:p>
      <w:pPr>
        <w:spacing w:line="360" w:lineRule="auto" w:after="120"/>
        <w:ind w:firstLine="420"/>
        <w:jc w:val="both"/>
      </w:pPr>
      <w:r>
        <w:rPr>
          <w:rFonts w:ascii="Times New Roman" w:hAnsi="Times New Roman" w:eastAsia="仿宋"/>
          <w:b w:val="0"/>
          <w:sz w:val="24"/>
        </w:rPr>
        <w:t>LYTAC从概念验证走向临床转化，面临制备、选择性、药代和监管证据四重瓶颈，上述问题若未得到系统解决，不宜将LYTAC视为接近临床的成熟技术平台。</w:t>
      </w:r>
    </w:p>
    <w:p>
      <w:pPr>
        <w:spacing w:line="360" w:lineRule="auto" w:after="120"/>
        <w:ind w:firstLine="420"/>
        <w:jc w:val="both"/>
      </w:pPr>
      <w:r>
        <w:rPr>
          <w:rFonts w:ascii="Times New Roman" w:hAnsi="Times New Roman" w:eastAsia="仿宋"/>
          <w:b w:val="0"/>
          <w:sz w:val="24"/>
        </w:rPr>
        <w:t>制备方面，化学合成多价M6P聚糖偶联物存在步骤繁琐、批次均一性差和放大困难等问题。Kim等的酵母聚糖路线和Zhang等、Huang等的基因编码平台分别代表了简化聚糖制备和绕开化学偶联的两种解决思路，但各路线仍需建立与生物药或化药相对应的GMP质控标准。Pance等的KineTAC和Zhang等的iLYTAC虽在实验室规模展现出良好的模块切换能力，但其向GMP生产体系迁移时，仍需重新定义关键工艺参数和放行标准。</w:t>
      </w:r>
    </w:p>
    <w:p>
      <w:pPr>
        <w:spacing w:line="360" w:lineRule="auto" w:after="120"/>
        <w:ind w:firstLine="420"/>
        <w:jc w:val="both"/>
      </w:pPr>
      <w:r>
        <w:rPr>
          <w:rFonts w:ascii="Times New Roman" w:hAnsi="Times New Roman" w:eastAsia="仿宋"/>
          <w:b w:val="0"/>
          <w:sz w:val="24"/>
        </w:rPr>
        <w:t>组织选择性方面，CI-M6PR广谱表达带来的脱靶降解风险尚未完全解决；ASGPR和EndoTag等策略可改善肝或特定组织定向，但肺、肾、脑等器官的精准递送仍缺乏成熟方案。第一节已述Huang等揭示的内源性配体竞争是CI-M6PR路线的生物学约束，在成药性评价阶段则转化为广谱受体路线脱靶风险难以预测的问题。脱靶降解正常组织蛋白是LYTAC特有的风险类型，不同于传统抗体阻断的"占用受体"风险；广谱CI-M6PR路线可能放大脱靶效应的不可预测性，肝定向ASGPR路线虽可缩小降解地理范围，但需评估肝细胞非靶蛋白的意外清除。</w:t>
      </w:r>
    </w:p>
    <w:p>
      <w:pPr>
        <w:spacing w:line="360" w:lineRule="auto" w:after="120"/>
        <w:ind w:firstLine="420"/>
        <w:jc w:val="both"/>
      </w:pPr>
      <w:r>
        <w:rPr>
          <w:rFonts w:ascii="Times New Roman" w:hAnsi="Times New Roman" w:eastAsia="仿宋"/>
          <w:b w:val="0"/>
          <w:sz w:val="24"/>
        </w:rPr>
        <w:t>药代动力学方面，LYTAC与靶蛋白及受体形成三元复合物后常被一同送入溶酶体降解，体内有效浓度维持时间较短；高更新速率或高表达靶点可能需要更频繁给药（参考文献：《Targeted degradation of membrane and extracellular proteins with LYTACs》[6]）。适体靶向臂虽具合成简便优势，但体内可能面临核酸酶降解和肾脏快速清除；含聚糖或外源蛋白的偶联物还存在潜在免疫原性，需在反复给药动物实验中系统评估。</w:t>
      </w:r>
    </w:p>
    <w:p>
      <w:pPr>
        <w:spacing w:line="360" w:lineRule="auto" w:after="120"/>
        <w:ind w:firstLine="420"/>
        <w:jc w:val="both"/>
      </w:pPr>
      <w:r>
        <w:rPr>
          <w:rFonts w:ascii="Times New Roman" w:hAnsi="Times New Roman" w:eastAsia="仿宋"/>
          <w:b w:val="0"/>
          <w:sz w:val="24"/>
        </w:rPr>
        <w:t>监管与临床证据方面，LYTAC及相关胞外蛋白降解技术仍主要处于临床前阶段，尚无正式发表的人体临床试验结果（参考文献：《Targeted protein degradation: advances in drug discovery and clinical practice》[18]）。Zhao等强调，新兴降解平台需完成充分的机制验证、毒理评估和制剂研究方可进入临床（参考文献：《Targeted protein degradation: mechanisms, strategies and application》[8]）。与PROTAC相比，LYTAC的临床转化路径更缺少可参照的审评先例；Bekes等关于PROTAC临床开发的回顾亦提示，降解药物从概念验证走向临床需经历严格的靶点拓展和工艺固化过程，而LYTAC目前缺乏类似PROTAC的临床概念验证案例，在监管审评中可能面临更大的机制与安全性解释负担。</w:t>
      </w:r>
    </w:p>
    <w:p>
      <w:pPr>
        <w:spacing w:line="360" w:lineRule="auto" w:after="120"/>
        <w:ind w:firstLine="420"/>
        <w:jc w:val="both"/>
      </w:pPr>
      <w:r>
        <w:rPr>
          <w:rFonts w:ascii="Times New Roman" w:hAnsi="Times New Roman" w:eastAsia="仿宋"/>
          <w:b w:val="0"/>
          <w:sz w:val="24"/>
        </w:rPr>
        <w:t>面对上述瓶颈，Fang等的SignalTAC和Liu等的病灶激活前体表明，疾病病理特征本身可作为药物设计输入，为克服组织选择性不足提供了非常规思路。Zhong等指出，靶向蛋白降解药物与化疗、免疫治疗或靶向药物的联合应用可能产生协同效应，但也增加了安全性评价的复杂性；LYTAC若进入临床开发，其联合用药方案的设计需充分考虑脱靶降解对正常组织蛋白稳态的影响。</w:t>
      </w:r>
    </w:p>
    <w:p>
      <w:pPr>
        <w:spacing w:line="360" w:lineRule="auto" w:after="120"/>
        <w:ind w:firstLine="420"/>
        <w:jc w:val="both"/>
      </w:pPr>
      <w:r>
        <w:rPr>
          <w:rFonts w:ascii="Times New Roman" w:hAnsi="Times New Roman" w:eastAsia="仿宋"/>
          <w:b w:val="0"/>
          <w:sz w:val="24"/>
        </w:rPr>
        <w:t>面向后续研发，可以优先评估以下方向：建立受体-靶点-组织三联匹配的标准决策流程；开发均一性更好的模块化制备工艺；在关键疾病模型中完成降解剂对阻断剂的头对头比较；以及开展系统的体内毒理和药代研究。头对头比较实验应纳入功能终点而不仅是蛋白清除百分比，以明确降解策略相对阻断的真实获益边界。系统的组织病理学和蛋白组学监测，应成为LYTAC临床前安全性评价的常规组成部分。胞外蛋白降解技术的成药开发本质上需要药物化学、细胞生物学和临床药理学的交叉协作，单一学科视角的优化难以覆盖从分子设计到体内验证的全链条问题。</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LYTAC技术将靶向蛋白降解从胞内蛋白酶体途径拓展至胞外及膜蛋白，其重要意义在于为蛋白质组中相当比例的胞外靶点提供了可操作的干预策略，有望突破传统抗体和小分子抑制剂在"难以彻底清除致病蛋白"方面的局限。</w:t>
      </w:r>
    </w:p>
    <w:p>
      <w:pPr>
        <w:spacing w:line="360" w:lineRule="auto" w:after="120"/>
        <w:ind w:firstLine="420"/>
        <w:jc w:val="both"/>
      </w:pPr>
      <w:r>
        <w:rPr>
          <w:rFonts w:ascii="Times New Roman" w:hAnsi="Times New Roman" w:eastAsia="仿宋"/>
          <w:b w:val="0"/>
          <w:sz w:val="24"/>
        </w:rPr>
        <w:t>综合全文梳理可以看出，LYTAC药物研发并非单纯的化学偶联问题，而是受体生物学、模块化分子工程与疾病药理学三者耦合的系统工程。受体选择决定降解的组织定位与通量，三模块平台设计决定靶点切换效率与制备可行性，而体内降解与阻断的头对头比较才是评价临床转化潜力的最终标尺。现有证据支持PD-L1降解在动物模型中可产生优于抗体阻断的免疫激活效应，但肝靶向和神经退行性疾病方向仍缺乏充分的对比数据。</w:t>
      </w:r>
    </w:p>
    <w:p>
      <w:pPr>
        <w:spacing w:line="360" w:lineRule="auto" w:after="120"/>
        <w:ind w:firstLine="420"/>
        <w:jc w:val="both"/>
      </w:pPr>
      <w:r>
        <w:rPr>
          <w:rFonts w:ascii="Times New Roman" w:hAnsi="Times New Roman" w:eastAsia="仿宋"/>
          <w:b w:val="0"/>
          <w:sz w:val="24"/>
        </w:rPr>
        <w:t>从研究发展规律看，LYTAC正经历PROTAC早期所经历的"概念验证—平台分化—临床前聚焦"阶段，目前尚无任何人体临床试验报道，在可放大制备、组织选择性、药代动力学和长期安全性方面仍存在明显短板。后续研究可优先聚焦以下方向：建立"靶点-受体-组织"三联匹配的标准决策流程，避免盲目追求体外降解率；推动化学聚糖路线与基因编码路线的工艺标准化；在PD-L1、EGFR等关键靶点上系统开展降解剂对阻断剂的头对头动物实验；探索病灶激活、内吞信号肽融合等非常规策略，以克服全身给药脱靶和受体竞争等生物学约束。</w:t>
      </w:r>
    </w:p>
    <w:p>
      <w:pPr>
        <w:spacing w:line="360" w:lineRule="auto" w:after="120"/>
        <w:ind w:firstLine="420"/>
        <w:jc w:val="both"/>
      </w:pPr>
      <w:r>
        <w:rPr>
          <w:rFonts w:ascii="Times New Roman" w:hAnsi="Times New Roman" w:eastAsia="仿宋"/>
          <w:b w:val="0"/>
          <w:sz w:val="24"/>
        </w:rPr>
        <w:t>总体而言，LYTAC代表了靶向蛋白降解领域的重要拓展方向。其长期价值不仅在于提供新的分子工具，更在于推动药物研发从"功能抑制"向"蛋白清除"的理念转变。随着受体生物学认识的深入和模块化制备技术的成熟，LYTAC有望在肿瘤免疫、肝靶向代谢病和神经退行性疾病等领域成为具有独特竞争优势的候选药物策略，但其成药前景仍有赖于临床前数据的系统积累与严格验证。只有将受体决策、模块工程和体内验证三条主线贯通，才能推动LYTAC从学术热点成长为具有临床竞争力的药物技术。</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Bekes M, Langley D R, Crews C M. PROTAC targeted protein degraders: the past is prologue[J]. Nature Reviews Drug Discovery, 2022, 21(3): 181-200.[2] Banik S M, Pedram K, Wisnovsky S, Riley N M, Bertozzi C R. Lysosome-targeting chimaeras for degradation of extracellular proteins[J]. Nature, 2020, 584(7820): 291-297.[3] Chen X, Zhou Y, Zhao Y, Tang W. Targeted degradation of extracellular secreted and membrane proteins[J]. Trends in Pharmacological Sciences, 2023, 44(11): 762-775.[4] Mamun A A, Uzunparmak B, Crews C M. Targeted degradation of extracellular proteins: state of the art and diversity of degrader designs[J]. Journal of Hematology &amp; Oncology, 2025, 18: 23.[5] Lin J, Jin J, Shen Y, et al. Emerging protein degradation strategies: expanding the scope to extracellular and membrane proteins[J]. Theranostics, 2021, 11(17): 8337-8349.[6] Li Y Y, Yang Y, Zhang R S, Ge R X, Xie S B. Targeted degradation of membrane and extracellular proteins with LYTACs[J]. Acta Pharmacologica Sinica, 2025, 46: 1-7.[7] Huang B, Abedi M, Coventry B, et al. Designed endocytosis-inducing proteins degrade targets and amplify signals[J]. Nature, 2024, 632(8024): 191-200.[8] Zhao L, Zhao J, Zhong K, Tong A, Jia D. Targeted protein degradation: mechanisms, strategies and application[J]. Signal Transduction and Targeted Therapy, 2022, 7: 113.[9] Liu Z, Deng Q, Qin G, et al. Biomarker-activated multifunctional lysosome-targeting chimeras mediated selective degradation of extracellular amyloid fibrils[J]. Chem, 2023, 9(7): 2016-2038.[10] Ahn G, Banik S M, Miller C L, et al. LYTACs that engage the asialoglycoprotein receptor for targeted protein degradation[J]. Nature Chemical Biology, 2021, 17(9): 937-946.[11] Pance K, Gramespacher J A, Byrnes J R, et al. Modular cytokine receptor-targeting chimeras for targeted degradation of cell surface and extracellular proteins[J]. Nature Biotechnology, 2023, 41(2): 273-281.[12] Li Y, Liu X, Yu L, et al. Covalent LYTAC enabled by DNA aptamers for immune checkpoint degradation therapy[J]. Journal of the American Chemical Society, 2023, 145(45): 24506-24521.[13] Wu Y, Lu Y, Li L, et al. Aptamer-LYTACs for targeted degradation of extracellular and membrane proteins[J]. Angewandte Chemie International Edition, 2023, 62(15): e202218106.[14] Caianiello D F, Zhang M, Ray J D, et al. Bifunctional small molecules that mediate the degradation of extracellular proteins[J]. Nature Chemical Biology, 2021, 17(9): 947-953.[15] Zhang B, Brahma R K, Zhu L, et al. Insulin-like Growth Factor 2 (IGF2)-Fused Lysosomal Targeting Chimeras for Degradation of Extracellular and Membrane Proteins[J]. Journal of the American Chemical Society, 2023, 145(44): 24272-24283.[16] Kim S, Kang J Y, Bi A D, et al. Lysosome-Targeting Chimera Using Mannose-6-Phosphate Glycans Derived from Glyco-Engineered Yeast[J]. Bioconjugate Chemistry, 2025, 36(3): 424-436.[17] Fang T, Zheng Z, Li N, et al. Lysosome-targeting chimeras containing an endocytic signaling motif trigger endocytosis and lysosomal degradation of cell-surface proteins[J]. Chemical Science, 2024, 15(42): 17652-17662.[18] Zhong G, Chang X, Xie W, Zhou X. Targeted protein degradation: advances in drug discovery and clinical practice[J]. Signal Transduction and Targeted Therapy, 2024, 9: 308.</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