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穿插Banik、Ahn、Pance和Li等代表性研究的关键发现，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Chen等和Mamun等的综述已对胞外蛋白降解的技术版图与分子类型做过宏观梳理。本综述在简述上述背景后，依次讨论受体选择决策、三模块分子工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的早期综述已将这一分选-回收平衡视为解释不同细胞系降解效率差异的核心变量。（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验证溶酶体途径的标准实验体系包括：溶酶体抑制剂阻断降解、受体敲除或配体竞争削弱效应，以及遗传学筛选鉴定内吞分选相关基因。Banik等在初代研究中用溶酶体抑制剂确认EGFR降解依赖溶酶体，并以CRISPR干扰筛选鉴定CI-M6PR内吞的细胞机器；筛选还发现exocyst复合体影响CI-M6PR的膜面呈现，提示受体可及性本身即是降解效率的上游决定因素。（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从受体组织分布出发，可建立LYTAC的受体选择决策框架。第一类是以CI-M6PR（IGF2R）为代表的广谱受体：其在多种组织均有表达，适合需要广泛降解的靶点，但脱靶风险较高。Huang等通过内源性配体竞争实验揭示，细胞内M6P修饰糖蛋白可与外源配体竞争CI-M6PR结合位点，是广谱受体路线中不可忽视的生物学约束。该发现意味着：即便分子亲和力很高，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第二类是以ASGPR为代表的组织定向受体：其表达集中于肝细胞，可将内吞-降解过程限制在肝脏微环境。当治疗目标为肝内靶蛋白或需降低全身脱靶时，应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第三类是以细胞因子受体等天然高周转膜蛋白为代表的可编程内吞触发器：其优势在于内吞速率较高、组织表达谱相对明确，但受体本身参与生理信号传导，需评估配体占用对受体正常功能的干扰。Pance等的工作表明，利用天然细胞因子-受体相互作用可触发靶蛋白共内化，为受体臂选择提供了不同于经典LTR配体的生物学依据。（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第四类是绕过外源LTR配体、直接利用内吞分选信号的工程思路：将富含酪氨酸的内吞基序嵌入靶蛋白结合模块，可诱导靶蛋白经网格蛋白途径进入溶酶体分选通路。该路线将“受体臂”的功能转化为内源性分选信号，拓展了受体选择的逻辑边界，但其组织定向性取决于所偶联内吞信号的来源与靶细胞分选机器的差异。</w:t>
      </w:r>
    </w:p>
    <w:p>
      <w:pPr>
        <w:spacing w:line="360" w:lineRule="auto" w:after="120"/>
        <w:ind w:firstLine="420"/>
        <w:jc w:val="both"/>
      </w:pPr>
      <w:r>
        <w:rPr>
          <w:rFonts w:ascii="Times New Roman" w:hAnsi="Times New Roman" w:eastAsia="仿宋"/>
          <w:b w:val="0"/>
          <w:sz w:val="24"/>
        </w:rPr>
        <w:t>综合上述四类路径，受体选择可遵循以下决策逻辑：若追求最大靶蛋白覆盖且可接受脱靶风险，优先考虑CI-M6PR体系；若需肝定向降解，选择ASGPR通路；若需利用特定组织的内吞通量，评估细胞因子受体等高周转受体；若内源性受体竞争或组织表达谱构成主要限制，可考察内吞信号肽融合等替代分选策略。</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内源性配体竞争与受体回收动力学。只有上述生物学指标对齐后，方可进入第二节所述的分子模块组装。（参考文献：《Targeted protein degradation: mechanisms, strategies and application》[18]）</w:t>
      </w:r>
    </w:p>
    <w:p>
      <w:pPr>
        <w:spacing w:line="360" w:lineRule="auto" w:after="120"/>
        <w:ind w:firstLine="420"/>
        <w:jc w:val="both"/>
      </w:pPr>
      <w:r>
        <w:rPr>
          <w:rFonts w:ascii="Times New Roman" w:hAnsi="Times New Roman" w:eastAsia="仿宋"/>
          <w:b w:val="0"/>
          <w:sz w:val="24"/>
        </w:rPr>
        <w:t>Lin等的早期综述进一步指出，整合素、清道夫受体等亦被用于组织选择性胞外蛋白降解，提示LTR的选择空间仍在持续扩展。对于膜蛋白靶点，还需关注其与LTR在同一细胞表面的空间距离和共定位关系，因为这将影响三元复合物形成的几何可行性。（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poE4和Aβ等靶点则涉及分泌蛋白或聚集体的清除，对受体通量和局部给药策略提出不同要求。因此，受体决策框架必须与具体疾病场景联用，不能脱离靶点生物学单独优化分子结构。（参考文献：《Lysosome-targeting chimaeras for degradation of extracellular proteins》[1]；《Biomarker-activated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w:t>
      </w:r>
    </w:p>
    <w:p>
      <w:pPr>
        <w:spacing w:line="360" w:lineRule="auto" w:after="120"/>
        <w:ind w:firstLine="420"/>
        <w:jc w:val="both"/>
      </w:pPr>
      <w:r>
        <w:rPr>
          <w:rFonts w:ascii="Times New Roman" w:hAnsi="Times New Roman" w:eastAsia="仿宋"/>
          <w:b w:val="0"/>
          <w:sz w:val="24"/>
        </w:rPr>
        <w:t>受体表达密度与膜周转速率亦构成重要的生物学变量：在受体表达水平较低的细胞系中，即便配体亲和力很高，有效三元复合物形成的概率仍可能受限；在膜周转较快的细胞中，内吞通量较高但受体回收亦更活跃，需通过时间分辨的降解动力学实验加以区分。</w:t>
      </w:r>
    </w:p>
    <w:p>
      <w:pPr>
        <w:spacing w:line="360" w:lineRule="auto" w:after="120"/>
        <w:ind w:firstLine="420"/>
        <w:jc w:val="both"/>
      </w:pPr>
      <w:r>
        <w:rPr>
          <w:rFonts w:ascii="Times New Roman" w:hAnsi="Times New Roman" w:eastAsia="仿宋"/>
          <w:b w:val="0"/>
          <w:sz w:val="24"/>
        </w:rPr>
        <w:t>对于分泌蛋白靶点，胞外蛋白池的动态平衡（合成、分泌、清除）决定了降解剂是否能在稳态下维持靶蛋白低水平，这一考量与膜蛋白靶点存在本质差异。（参考文献：《Lysosome-targeting chimaeras for degradation of extracellular proteins》[1]；《Targeted degradation of membrane and extracellular proteins with LYTACs》[7]）</w:t>
      </w:r>
    </w:p>
    <w:p>
      <w:pPr>
        <w:spacing w:line="360" w:lineRule="auto" w:after="120"/>
        <w:ind w:firstLine="420"/>
        <w:jc w:val="both"/>
      </w:pPr>
      <w:r>
        <w:rPr>
          <w:rFonts w:ascii="Times New Roman" w:hAnsi="Times New Roman" w:eastAsia="仿宋"/>
          <w:b w:val="0"/>
          <w:sz w:val="24"/>
        </w:rPr>
        <w:t>本节小结：LYTAC疗效的关键瓶颈不在于靶蛋白能否被结合，而在于所选LTR的组织分布、内吞通量、内体分选倾向及内源性配体竞争是否与疾病场景匹配。受体选择应作为药物设计的首要决策节点；具体分子如何将受体“装”到降解剂上，将在第二节按三模块工程逻辑展开论述。</w:t>
      </w:r>
    </w:p>
    <w:p>
      <w:pPr>
        <w:spacing w:line="360" w:lineRule="auto" w:after="120"/>
        <w:ind w:firstLine="420"/>
        <w:jc w:val="both"/>
      </w:pPr>
      <w:r>
        <w:rPr>
          <w:rFonts w:ascii="Times New Roman" w:hAnsi="Times New Roman" w:eastAsia="仿宋"/>
          <w:b w:val="0"/>
          <w:sz w:val="24"/>
        </w:rPr>
        <w:t>需要强调的是，受体决策并非一次性静态选择：同一靶点在不同疾病分期、不同给药途径或联合用药背景下，最优受体策略可能发生变化。例如，肿瘤免疫治疗早期可能优先考虑广谱降解以快速清除免疫检查点，而维持治疗阶段则可能更需要组织定向策略以降低脱靶免疫毒性。因此，受体决策框架应保留与临床方案同步迭代的空间。</w:t>
      </w:r>
    </w:p>
    <w:p>
      <w:pPr>
        <w:spacing w:line="360" w:lineRule="auto" w:after="120"/>
        <w:ind w:firstLine="420"/>
        <w:jc w:val="both"/>
      </w:pPr>
      <w:r>
        <w:rPr>
          <w:rFonts w:ascii="Times New Roman" w:hAnsi="Times New Roman" w:eastAsia="仿宋"/>
          <w:b w:val="0"/>
          <w:sz w:val="24"/>
        </w:rPr>
        <w:t>在实验设计层面，比较不同受体策略时应尽量固定靶向臂和连接子条件，仅改变受体臂或受体类型，以避免将模块差异误判为受体生物学差异。同理，评估内源性配体竞争时，应在多种细胞背景下重复验证，因为受体表达水平和内源性配体丰度均存在细胞系特异性。（参考文献：《Designed endocytosis-inducing proteins degrade targets and amplify signals》[12]）</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内体分选决定LYTAC-受体复合物进入溶酶体降解或回收至细胞膜，是降解效率的核心分叉点。（引自：Banik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该工作亦利用CRISPR筛选解析CI-M6PR内吞机器，为后续研究建立了溶酶体途径确证与遗传学机制解析并行的实验范式。（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Ahn等以肽段结合剂降解整合素，表明靶向臂不必局限于完整抗体。（参考文献：《Bifunctional small molecules that mediate the degradation of extracellular proteins》[9]；《LYTACs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实现肝细胞中PDGF和PTK7的降解；Li等设计DNA适体靶向PD-L1，通过生物正交反应增强适体与靶蛋白的共价结合，再偶联溶酶体靶向模块，在肿瘤动物模型中诱导了强于抗PD-L1抗体的T细胞浸润和细胞因子释放，为“降解优于阻断”提供了体内证据。（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Huang等的EndoTag融合不同靶蛋白结合蛋白后，可定向至IGF2R或ASGPR等不同受体。（参考文献：《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Kim等以糖工程酵母发酵制备人源兼容的gyM6pG聚糖，通过无铜点击化学与纳米抗体偶联，在沿用CI-M6PR受体臂的同时降低了聚糖合成门槛。（参考文献：《Lysosome-targeting chimaeras for degradation of extracellular proteins》[1]；《Lysosome-Targeting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Wu等的Apt-LYTAC将适体靶向臂与tri-GalNAc受体臂组合，进一步验证了肝定向化学偶联平台的模块可替换性。（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Zhang等的iLYTAC以IGF2多肽结合CI-M6PR，Huang等的EndoTag以人工设计蛋白结合IGF2R或ASGPR，二者均避免了聚糖化学修饰。（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内吞信号肽融合策略将受体臂功能转化为内源性分选信号。Fang等的SignalTAC将CI-M6PR来源的酪氨酸基内吞信号肽P3与靶蛋白结合模块融合，在不依赖外源聚糖配体的情况下诱导靶蛋白溶酶体降解，在膜蛋白靶向降解中显示出优于亲本抗体的活性。（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Fang等在SignalTAC中通过优化靶蛋白结合模块与内吞信号肽之间的肽链接头，实现了膜蛋白的高效降解，说明连接子优化在基因编码平台中同样不可或缺。化学偶联路线中，偶联位点和偶联数不一致会直接影响降解活性重现性；基因编码路线中，柔性肽链的长度和氨基酸组成影响融合蛋白的表达与折叠。（参考文献：《LYTACs that engage the asialoglycoprotein receptor for targeted protein degradation》[2]；《Targeted degradation of membrane and extracellular proteins with LYTACs》[7]；《Lysosome-targeting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制备路线可按受体臂类型分为三条主线：化学偶联聚糖臂（Banik、Kim）、化学合成小分子臂（Caianiello）和基因编码蛋白臂（Pance、Huang、Zhang、Fang）。前者的优势在于结构可精细调控，后者的优势在于批次均一性和靶点切换速度。（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从平台可替换性看，Pance等的KineTAC可通过更换靶蛋白结合臂降解多个靶点而保留同一受体臂；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本节小结：LYTAC并非单一分子类型的线性迭代，而是以靶向臂、受体臂和连接子三模块为基础的可组合平台。药物设计应先在第一节受体决策框架内确定受体臂类型，再匹配适宜的靶向臂和连接子策略。模块化并不意味着任意组合均有效：靶向臂亲和力不足将导致三元复合物形成效率低下；受体臂与靶组织不匹配将造成降解位置错误；连接子长度不当则影响两个功能臂的协同构象。因此，平台化的前提是建立针对特定“靶点-组织-制备”组合的标准优化流程。</w:t>
      </w:r>
    </w:p>
    <w:p>
      <w:pPr>
        <w:spacing w:line="360" w:lineRule="auto" w:after="120"/>
        <w:ind w:firstLine="420"/>
        <w:jc w:val="both"/>
      </w:pPr>
      <w:r>
        <w:rPr>
          <w:rFonts w:ascii="Times New Roman" w:hAnsi="Times New Roman" w:eastAsia="仿宋"/>
          <w:b w:val="0"/>
          <w:sz w:val="24"/>
        </w:rPr>
        <w:t>从代表性研究的演进逻辑看，Banik等回答了“能否降解”，Ahn等回答了“在哪里降解”，Pance等回答了“如何模块化生产”，Li等回答了“降解是否优于阻断”。四者并非重复叙述同一分子，而是分别验证了靶向臂多样性、受体臂组织定向、基因编码可放大性和体内药效比较四个工程维度，构成评价新LYTAC研究价值的基本坐标系。</w:t>
      </w:r>
    </w:p>
    <w:p>
      <w:pPr>
        <w:spacing w:line="360" w:lineRule="auto" w:after="120"/>
        <w:ind w:firstLine="420"/>
        <w:jc w:val="both"/>
      </w:pPr>
      <w:r>
        <w:rPr>
          <w:rFonts w:ascii="Times New Roman" w:hAnsi="Times New Roman" w:eastAsia="仿宋"/>
          <w:b w:val="0"/>
          <w:sz w:val="24"/>
        </w:rPr>
        <w:t>在活性评价层面，不同模块组合应建立可比的体外读数体系：蛋白清除动力学反映降解机制是否有效，受体配体竞争实验可区分靶向失败与受体占用失败，溶酶体抑制剂对照则是确证途径特异性的必要对照。Banik等所建立的三位一体验证范式，已成为后续化学偶联与基因编码平台的共同参照。（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在质量属性层面，化学偶联平台的挑战在于偶联位点、偶联数和聚集体控制；基因编码平台的挑战在于融合蛋白表达量、折叠正确性和宿主细胞糖基化差异。Kim等的酵母聚糖路线在降低受体臂合成难度的同时，仍需解决聚糖结构表征和批次间一致性评价问题。无论采用哪条制备主线，均需在临床前阶段明确关键质量属性与降解活性的关联，否则难以支撑工艺放大和监管申报。（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抗体靶向臂与小分子、适体靶向臂的选择，本质上是在亲和力、分子量、可修饰性和制备成本之间权衡。对于需要穿透实体瘤或血脑屏障的场景，较小分子量的靶向臂可能更具优势；对于膜蛋白高丰度靶点，高亲和力抗体或共价适体策略可能更有利于维持降解通量。（参考文献：《Covalent LYTAC enabled by DNA aptamers for immune checkpoint degradation therapy》[4]；《Bifunctional small molecules that mediate the degradation of extracellular proteins》[9]）</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Banik等证实CI-M6PR依赖LYTAC可同步降解EGFR、PD-L1等多种靶蛋白，奠定LYTAC概念框架。（引自：Banik S M, et al. Nature, 2020, 584(7820): 291-297 [1]）图3  Ahn等证明GalNAc-LYTAC可实现肝组织定向降解，且对EGFR下游信号抑制优于阻断性抗体。（引自：Ahn G, et al. Nat Chem Biol, 2021, 17(9): 937-946 [2]）图4  Pance等证实KineTAC可通过更换靶向臂实现多靶点降解，体现受体臂与靶向臂的模块化可替换性。（引自：Pance K, et al. Nat Biotechnol, 2023, 41(2): 273-281 [3]）图5  Li等证实共价适体LYTAC在动物模型中降解PD-L1并激活抗肿瘤免疫，效应强于抗PD-L1抗体。（引自：Li Y, et al. J Am Chem Soc, 2023, 145(45): 24506-24521 [4]）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本节从疾病场景出发，系统评估降解策略相对单纯阻断的增益证据及其局限。评价的核心指标包括：靶蛋白清除幅度、下游信号抑制持续时间、免疫功能激活程度及全身脱靶风险。不同疾病场景中上述指标的权重并不相同，需分别加以分析。（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在肿瘤免疫方向，PD-L1是最具代表性的比较靶点。Banik等首先证明LYTAC可降解PD-L1并减弱肿瘤细胞免疫逃逸。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Banik等亦验证了ApoE4等神经相关分泌蛋白的可降解性。该领域尚缺乏降解与阻断的直接对照实验，但病灶激活策略本身旨在解决全身给药脱靶这一阻断策略难以回避的问题。（参考文献：《Biomarker-activated multifunctional lysosome-targeting chimeras mediated selective degradation of extracellular amyloid fibrils》[5]；《Lysosome-targeting chimaeras for degradation of extracellular proteins》[1]）</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Pance等的KineTAC在PD-L1、HER2等多个靶点上实现了51%—93%的降解效率，但尚未系统比较其与阻断抗体的功能差异。（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在生长因子受体方向，Banik等证明LYTAC可降解EGFR并削弱下游增殖信号，溶酶体抑制剂可逆转该效应，确证了降解途径的特异性。Ahn等进一步表明肝靶向GalNAc-LYTAC对EGFR下游信号的抑制较抗体更持久。然而，EGFR降解是否能在临床耐药场景中优于酪氨酸激酶抑制剂或单抗，仍需在更接近临床的模型中验证。（参考文献：《Lysosome-targeting chimaeras for degradation of extracellular proteins》[1]；《LYTACs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Zhang等的iLYTAC在异种移植瘤模型中验证了抗肿瘤活性，表明基因编码平台兼具体外降解和体内药效验证的潜力。对于更新速率较快的膜蛋白靶点，即使降解效率较高，仍须评估靶蛋白重新合成是否会抵消降解效应——这是降解策略相对阻断策略的潜在劣势之一，需在长期给药实验中加以考察。（参考文献：《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在自身免疫与炎症方向，胞外细胞因子和免疫球蛋白等靶点理论上亦适合LYTAC降解，但公开文献中系统的体内验证仍较少，可能是LYTAC拓展适应症的重要突破口。</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为“降解优于阻断”提供了膜蛋白靶点方向的补充证据。该研究与Li等的PD-L1实例形成互补：前者通过内吞信号肽绕过外源受体配体，后者通过共价适体增强靶向臂结合，从不同工程路径达成了相同的药理学目标——即彻底清除靶蛋白而非仅阻断其功能。（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本节小结：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在膜蛋白靶点拓展方面，Banik等已证实CD71等转运受体的可降解性；Pance等的KineTAC在HER2、TROP2等肿瘤相关靶点上实现了高效降解，提示模块化蛋白平台适用于快速筛选肿瘤膜蛋白靶点。然而，高表达、高更新速率的膜蛋白可能对降解策略提出更严苛的给药频率要求，需在长期给药实验中评估靶蛋白重新合成对药效的抵消效应。（参考文献：《Lysosome-targeting chimaeras for degradation of extracellular proteins》[1]；《Modular cytokine receptor-targeting chimeras for targeted degradation of cell surface and extracellular proteins》[3]；《Targeted degradation of membrane and extracellular proteins with LYTACs》[7]）</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参考文献：《Covalent LYTAC enabled by DNA aptamers for immune checkpoint degradation therapy》[4]；《Lysosome-targeting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对于分泌蛋白和聚集体靶点，评价逻辑需从“膜蛋白清除”转向“胞外池耗竭”。Liu等的病灶激活策略利用病理微环境原位激活降解剂，在降低全身脱靶的同时实现Aβ纤维的局部清除，代表了一种将疾病生物学嵌入分子设计的验证思路。该方向尚缺乏与免疫疗法或抗体清除策略的系统比较，但为神经退行性疾病等全身给药风险高的场景提供了差异化路径。（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跨疾病场景的共性结论是：LYTAC的价值主张应与其所针对的靶点更新动力学相匹配。对于更新快、持续补充的免疫检查点蛋白，彻底清除可能比单纯阻断更具优势；对于需要局部干预的肝代谢靶点，组织定向降解的价值主要体现在安全性而非药效幅度；对于聚集体和纤维状靶点，降解策略的核心指标是病理沉积物的清除效率，而非与传统抑制剂的活性比较。</w:t>
      </w:r>
    </w:p>
    <w:p>
      <w:pPr>
        <w:spacing w:line="360" w:lineRule="auto" w:after="120"/>
        <w:ind w:firstLine="420"/>
        <w:jc w:val="both"/>
      </w:pPr>
      <w:r>
        <w:rPr>
          <w:rFonts w:ascii="Times New Roman" w:hAnsi="Times New Roman" w:eastAsia="仿宋"/>
          <w:b w:val="0"/>
          <w:sz w:val="24"/>
        </w:rPr>
        <w:t>建立上述疾病场景特异性的评价标准，有助于避免将肿瘤免疫领域的“降解优于阻断”结论不加区分地外推至其他适应症，从而提高后续临床前研究的判断准确性。</w:t>
      </w:r>
    </w:p>
    <w:p>
      <w:pPr>
        <w:spacing w:line="360" w:lineRule="auto" w:after="120"/>
        <w:ind w:firstLine="420"/>
        <w:jc w:val="both"/>
      </w:pPr>
      <w:r>
        <w:rPr>
          <w:rFonts w:ascii="Times New Roman" w:hAnsi="Times New Roman" w:eastAsia="仿宋"/>
          <w:b w:val="0"/>
          <w:sz w:val="24"/>
        </w:rPr>
        <w:t>本节小结重申：疾病验证的核心任务不是重复列举可降解靶点，而是在具体病理场景中判断降解策略是否比现有疗法带来可测量的额外获益。</w:t>
      </w:r>
    </w:p>
    <w:p>
      <w:pPr>
        <w:spacing w:line="360" w:lineRule="auto" w:after="120"/>
        <w:ind w:firstLine="420"/>
        <w:jc w:val="both"/>
      </w:pPr>
      <w:r>
        <w:rPr>
          <w:rFonts w:ascii="Times New Roman" w:hAnsi="Times New Roman" w:eastAsia="仿宋"/>
          <w:b w:val="0"/>
          <w:sz w:val="24"/>
        </w:rPr>
        <w:t>现有证据支持这一判断在PD-L1肿瘤免疫中最为充分，在其他适应症中仍需更多头对头实验加以验证。</w:t>
      </w:r>
    </w:p>
    <w:p>
      <w:pPr>
        <w:spacing w:line="360" w:lineRule="auto" w:after="120"/>
        <w:ind w:firstLine="420"/>
        <w:jc w:val="both"/>
      </w:pPr>
      <w:r>
        <w:rPr>
          <w:rFonts w:ascii="Times New Roman" w:hAnsi="Times New Roman" w:eastAsia="仿宋"/>
          <w:b w:val="0"/>
          <w:sz w:val="24"/>
        </w:rPr>
        <w:t>这一审慎态度亦适用于转化瓶颈的评估。</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含聚糖或外源蛋白的偶联物还存在潜在免疫原性，需在反复给药动物实验中系统评估。（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监管与临床证据方面，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Fang等的SignalTAC和Liu等的病灶激活前体表明，疾病病理特征本身可作为药物设计输入，为克服组织选择性不足提供了非常规思路。（参考文献：《Covalent LYTAC enabled by DNA aptamers for immune checkpoint degradation therapy》[4]；《Aptamer-LYTACs for targeted degradation of extracellular and membrane proteins》[6]；《Biomarker-activated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此外，Huang等揭示的内源性配体竞争、Fang等开发的内吞信号肽策略以及Liu等的病灶激活前体，分别从生物学约束和工程应对两个维度为克服现有瓶颈提供了新思路。（参考文献：《Biomarker-activated multifunctional lysosome-targeting chimeras mediated selective degradation of extracellular amyloid fibrils》[5]；《Designed endocytosis-inducing proteins degrade targets and amplify signals》[12]；《Lysosome-targeting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line="360" w:lineRule="auto" w:after="120"/>
        <w:ind w:firstLine="420"/>
        <w:jc w:val="both"/>
      </w:pPr>
      <w:r>
        <w:rPr>
          <w:rFonts w:ascii="Times New Roman" w:hAnsi="Times New Roman" w:eastAsia="仿宋"/>
          <w:b w:val="0"/>
          <w:sz w:val="24"/>
        </w:rPr>
        <w:t>本节小结：LYTAC的核心科学问题已基本明确，成药瓶颈主要集中在工艺可放大性、组织选择性和临床前证据体系三方面。在上述瓶颈未解决前，不宜将LYTAC视为接近临床的成熟技术平台。</w:t>
      </w:r>
    </w:p>
    <w:p>
      <w:pPr>
        <w:spacing w:line="360" w:lineRule="auto" w:after="120"/>
        <w:ind w:firstLine="420"/>
        <w:jc w:val="both"/>
      </w:pPr>
      <w:r>
        <w:rPr>
          <w:rFonts w:ascii="Times New Roman" w:hAnsi="Times New Roman" w:eastAsia="仿宋"/>
          <w:b w:val="0"/>
          <w:sz w:val="24"/>
        </w:rPr>
        <w:t>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安全性评价层面，脱靶降解正常组织蛋白是LYTAC特有的风险类型，不同于传统抗体阻断的“占用受体”风险。Huang等揭示的内源性M6P糖蛋白竞争提示，广谱受体路线可能放大脱靶效应的不可预测性；肝定向ASGPR路线虽可缩小降解地理范围，但需评估肝细胞非靶蛋白的意外清除。系统的组织病理学和蛋白组学监测，应成为LYTAC临床前安全性评价的常规组成部分。（参考文献：《LYTACs that engage the asialoglycoprotein receptor for targeted protein degradation》[2]；《Designed endocytosis-inducing proteins degrade targets and amplify signals》[12]）</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本综述的结构安排亦体现了上述逻辑：第一节聚焦“选哪个受体、为什么”，第二节聚焦“如何装配分子模块”，第三、四节分别评估疾病证据与转化障碍。这一分层有助于避免受体生物学与分子工程论述的交叉重复，使读者在每一节获得清晰、不重叠的信息增量。</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