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line="360" w:lineRule="auto" w:after="120"/>
        <w:ind w:firstLine="420"/>
        <w:jc w:val="both"/>
      </w:pPr>
      <w:r>
        <w:rPr>
          <w:rFonts w:ascii="Times New Roman" w:hAnsi="Times New Roman" w:eastAsia="仿宋"/>
          <w:b w:val="0"/>
          <w:sz w:val="24"/>
        </w:rPr>
        <w:t>对我个人而言，LYTAC最难理解的部分并不是化学结构，而是受体被占用、复合物被回收以及内体怎样分选到溶酶体这些细胞过程。</w:t>
      </w:r>
    </w:p>
    <w:p>
      <w:pPr>
        <w:spacing w:line="360" w:lineRule="auto" w:after="120"/>
        <w:ind w:firstLine="420"/>
        <w:jc w:val="both"/>
      </w:pPr>
      <w:r>
        <w:rPr>
          <w:rFonts w:ascii="Times New Roman" w:hAnsi="Times New Roman" w:eastAsia="仿宋"/>
          <w:b w:val="0"/>
          <w:sz w:val="24"/>
        </w:rPr>
        <w:t>只有把分子设计和细胞生物学结合起来，才更容易看懂相关论文中的实验结果。</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如果后续继续跟踪这个领域，我会更关注正式发表的临床前和临床研究数据，以及不同受体类型在组织选择性方面的新进展。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