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其在多种组织均有表达，内吞通量较高，适合不需要严格组织定向、且可接受一定脱靶风险的场景。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可拓展型受体包括整合素、清道夫受体等：其组织表达谱各异，相关降解策略尚处探索阶段，但为非常规组织靶向提供了潜在选项。选择可拓展型受体时，需重点评估其在靶组织的表达丰度、内吞通量及与靶蛋白的共定位条件，避免因受体数据不完整而导致降解位置偏离预期。（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综合上述三类受体，决策逻辑可概括为：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application》[18]）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对于分泌蛋白靶点，胞外蛋白池的动态平衡（合成、分泌、清除）决定了降解剂是否能在稳态下维持靶蛋白低水平，这一考量与膜蛋白靶点存在本质差异。（参考文献：《Targeted degradation of membrane and extracellular proteins with LYTACs》[7]）</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疗效的关键瓶颈不在于靶蛋白能否被结合，而在于所选LTR的组织分布、内吞通量、内体分选倾向及内源性配体竞争是否与疾病场景匹配。受体选择应作为药物设计的首要决策节点。第二节将分别介绍对应上述受体类型的分子工程实现路径。</w:t>
      </w:r>
    </w:p>
    <w:p>
      <w:pPr>
        <w:spacing w:line="360" w:lineRule="auto" w:after="120"/>
        <w:ind w:firstLine="420"/>
        <w:jc w:val="both"/>
      </w:pPr>
      <w:r>
        <w:rPr>
          <w:rFonts w:ascii="Times New Roman" w:hAnsi="Times New Roman" w:eastAsia="仿宋"/>
          <w:b w:val="0"/>
          <w:sz w:val="24"/>
        </w:rPr>
        <w:t>在跨物种转化时，还需注意LTR表达谱和溶酶体分选机器在人源细胞与常用细胞系之间的差异，避免将体外筛选得到的“最优受体”直接等同于临床适用方案。</w:t>
      </w:r>
    </w:p>
    <w:p>
      <w:pPr>
        <w:spacing w:line="360" w:lineRule="auto" w:after="120"/>
        <w:ind w:firstLine="420"/>
        <w:jc w:val="both"/>
      </w:pPr>
      <w:r>
        <w:rPr>
          <w:rFonts w:ascii="Times New Roman" w:hAnsi="Times New Roman" w:eastAsia="仿宋"/>
          <w:b w:val="0"/>
          <w:sz w:val="24"/>
        </w:rPr>
        <w:t>这一原则同样适用于解读不同细胞系间的降解效率差异。</w:t>
      </w:r>
    </w:p>
    <w:p>
      <w:pPr>
        <w:spacing w:line="360" w:lineRule="auto" w:after="120"/>
        <w:ind w:firstLine="420"/>
        <w:jc w:val="both"/>
      </w:pPr>
      <w:r>
        <w:rPr>
          <w:rFonts w:ascii="Times New Roman" w:hAnsi="Times New Roman" w:eastAsia="仿宋"/>
          <w:b w:val="0"/>
          <w:sz w:val="24"/>
        </w:rPr>
        <w:t>受体回收动力学与溶酶体分选效率的联立评估，是区分“结合成功”与“降解成功”的关键实验环节之一。</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该策略将受体臂功能嵌入天然内吞过程，但需评估配体占用对受体生理信号传导的干扰。（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该路线将受体臂功能转化为内源性分选信号，组织定向性取决于内吞信号来源与靶细胞分选机器的差异。（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各平台在制备难度、靶点切换灵活性和组织定向能力上各有权衡，选择时应与第一节确定的受体类型和疾病场景相匹配，而非单纯追求体外降解率最高。</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从代表性研究的演进逻辑看，Banik等、Ahn等、Pance等和Li等分别对应“能否降解”“在哪里降解”“如何模块化生产”和“降解是否优于阻断”四个工程节点，构成评价新LYTAC研究价值的基本坐标系。</w:t>
      </w:r>
    </w:p>
    <w:p>
      <w:pPr>
        <w:spacing w:line="360" w:lineRule="auto" w:after="120"/>
        <w:ind w:firstLine="420"/>
        <w:jc w:val="both"/>
      </w:pPr>
      <w:r>
        <w:rPr>
          <w:rFonts w:ascii="Times New Roman" w:hAnsi="Times New Roman" w:eastAsia="仿宋"/>
          <w:b w:val="0"/>
          <w:sz w:val="24"/>
        </w:rPr>
        <w:t>在活性评价层面，Banik等建立的溶酶体抑制剂确证范式，已成为化学偶联与基因编码平台的共同参照。（参考文献：《Lysosome-targeting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w:t>
      </w:r>
    </w:p>
    <w:p>
      <w:pPr>
        <w:spacing w:line="360" w:lineRule="auto" w:after="120"/>
        <w:ind w:firstLine="420"/>
        <w:jc w:val="both"/>
      </w:pPr>
      <w:r>
        <w:rPr>
          <w:rFonts w:ascii="Times New Roman" w:hAnsi="Times New Roman" w:eastAsia="仿宋"/>
          <w:b w:val="0"/>
          <w:sz w:val="24"/>
        </w:rPr>
        <w:t>在实验设计层面，比较不同工程策略时应尽量固定靶向臂和连接子条件，仅改变受体臂类型，以避免将模块差异误判为受体生物学差异；评估内源性配体竞争时，应在多种细胞背景下重复验证，因为受体表达水平和内源性配体丰度均存在细胞系特异性。</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therapy》[4]；《Bifunctional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 [1]）图3  Ahn等GalNAc-LYTAC的肝定向降解示意及EGFR下游信号抑制时程，表明受体臂更换可将降解限制在肝脏并延长药效持续时间。（引自：Ahn G, et al. Nat Chem Biol, 2021, 17(9): 937-946 [2]）图4  Pance等KineTAC的模块化架构及多靶点降解效率，表明更换靶向臂即可在保留受体臂的前提下切换靶蛋白。（引自：Pance K, et al. Nat Biotechnol, 2023, 41(2): 273-281 [3]）图5  Li等共价适体LYTAC在肿瘤模型中的PD-L1清除及T细胞浸润，表明降解策略可在体内产生优于抗体阻断的免疫激活效应。（引自：Li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参考文献：《Modular cytokine receptor-targeting chimeras for targeted degradation of cell surface and extracellular proteins》[3]；《Insulin-like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该领域尚缺乏降解与阻断的直接对照实验，但病灶激活策略旨在解决全身给药脱靶这一阻断策略难以回避的问题。（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对于分泌蛋白和聚集体靶点，评价逻辑需从“膜蛋白清除”转向“胞外池耗竭”，病理沉积物的清除效率是核心终点而非与传统抑制剂的活性比较。</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w:t>
      </w:r>
    </w:p>
    <w:p>
      <w:pPr>
        <w:spacing w:line="360" w:lineRule="auto" w:after="120"/>
        <w:ind w:firstLine="420"/>
        <w:jc w:val="both"/>
      </w:pPr>
      <w:r>
        <w:rPr>
          <w:rFonts w:ascii="Times New Roman" w:hAnsi="Times New Roman" w:eastAsia="仿宋"/>
          <w:b w:val="0"/>
          <w:sz w:val="24"/>
        </w:rPr>
        <w:t>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建立疾病场景特异性的评价标准，有助于避免将肿瘤免疫领域的结论不加区分地外推至其他适应症领域，从而提高临床前研究的判断准确性。</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Fang等的SignalTAC和Liu等的病灶激活前体表明，疾病病理特征本身可作为药物设计输入，为克服组织选择性不足提供了非常规思路。（参考文献：《Biomarker-activated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其中，头对头比较实验应纳入功能终点而不仅是蛋白清除百分比，以明确降解策略相对阻断的真实获益边界。</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此外，Huang等揭示的内源性配体竞争是CI-M6PR路线的生物学约束之一；Fang等开发的内吞信号肽策略以及Liu等的病灶激活前体，则为克服组织选择性不足提供了工程应对思路。（参考文献：《Designed endocytosis-inducing proteins degrade targets and amplify signals》[12]；《Biomarker-activated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