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疾病应用验证和转化瓶颈四个层面展开论述，分析受体选择对降解效率与组织定位的决定作用，归纳靶向臂、受体臂和连接子三模块的平台属性，并在分子工程论述中嵌入Banik、Ahn、Pance和Li等代表性研究的实证节点，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Chen等和Mamun等的综述已对胞外蛋白降解的技术版图与分子类型做过宏观梳理。本综述在简述上述背景后，依次讨论受体选择决策、三模块分子工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的早期综述已将这一分选-回收平衡视为解释不同细胞系降解效率差异的核心变量。（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提示受体可及性本身即是降解效率的上游决定因素。（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其在多种组织均有表达，内吞通量较高，适合不需要严格组织定向、且可接受一定脱靶风险的场景。Huang等通过内源性配体竞争实验揭示，细胞内M6P修饰糖蛋白可与外源配体竞争CI-M6PR结合位点，是广谱受体路线中不可忽视的生物学约束。该发现意味着：即便分子亲和力很高，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应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可拓展型受体包括整合素、清道夫受体等：其组织表达谱各异，相关降解策略尚处探索阶段，但为非常规组织靶向提供了潜在选项。选择可拓展型受体时，需重点评估其在靶组织的表达丰度、内吞通量及与靶蛋白的共定位条件，避免因受体数据不完整而导致降解位置偏离预期。（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综合上述三类受体，决策逻辑可概括为：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application》[18]）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w:t>
      </w:r>
    </w:p>
    <w:p>
      <w:pPr>
        <w:spacing w:line="360" w:lineRule="auto" w:after="120"/>
        <w:ind w:firstLine="420"/>
        <w:jc w:val="both"/>
      </w:pPr>
      <w:r>
        <w:rPr>
          <w:rFonts w:ascii="Times New Roman" w:hAnsi="Times New Roman" w:eastAsia="仿宋"/>
          <w:b w:val="0"/>
          <w:sz w:val="24"/>
        </w:rPr>
        <w:t>受体表达密度与膜周转速率亦构成重要的生物学变量：在受体表达水平较低的细胞系中，即便配体亲和力很高，有效三元复合物形成的概率仍可能受限；在膜周转较快的细胞中，内吞通量较高但受体回收亦更活跃，需通过时间分辨的降解动力学实验加以区分。</w:t>
      </w:r>
    </w:p>
    <w:p>
      <w:pPr>
        <w:spacing w:line="360" w:lineRule="auto" w:after="120"/>
        <w:ind w:firstLine="420"/>
        <w:jc w:val="both"/>
      </w:pPr>
      <w:r>
        <w:rPr>
          <w:rFonts w:ascii="Times New Roman" w:hAnsi="Times New Roman" w:eastAsia="仿宋"/>
          <w:b w:val="0"/>
          <w:sz w:val="24"/>
        </w:rPr>
        <w:t>对于分泌蛋白靶点，胞外蛋白池的动态平衡（合成、分泌、清除）决定了降解剂是否能在稳态下维持靶蛋白低水平，这一考量与膜蛋白靶点存在本质差异。（参考文献：《Targeted degradation of membrane and extracellular proteins with LYTACs》[7]）</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疗效的关键瓶颈不在于靶蛋白能否被结合，而在于所选LTR的组织分布、内吞通量、内体分选倾向及内源性配体竞争是否与疾病场景匹配。受体选择应作为药物设计的首要决策节点。第二节将分别介绍对应上述受体类型的分子工程实现路径。</w:t>
      </w:r>
    </w:p>
    <w:p>
      <w:pPr>
        <w:spacing w:line="360" w:lineRule="auto" w:after="120"/>
        <w:ind w:firstLine="420"/>
        <w:jc w:val="both"/>
      </w:pPr>
      <w:r>
        <w:rPr>
          <w:rFonts w:ascii="Times New Roman" w:hAnsi="Times New Roman" w:eastAsia="仿宋"/>
          <w:b w:val="0"/>
          <w:sz w:val="24"/>
        </w:rPr>
        <w:t>在跨物种转化时，还需注意LTR表达谱和溶酶体分选机器在人源细胞与常用细胞系之间的差异，避免将体外筛选得到的“最优受体”直接等同于临床适用方案。</w:t>
      </w:r>
    </w:p>
    <w:p>
      <w:pPr>
        <w:spacing w:line="360" w:lineRule="auto" w:after="120"/>
        <w:ind w:firstLine="420"/>
        <w:jc w:val="both"/>
      </w:pPr>
      <w:r>
        <w:rPr>
          <w:rFonts w:ascii="Times New Roman" w:hAnsi="Times New Roman" w:eastAsia="仿宋"/>
          <w:b w:val="0"/>
          <w:sz w:val="24"/>
        </w:rPr>
        <w:t>这一原则同样适用于解读不同细胞系间的降解效率差异。</w:t>
      </w:r>
    </w:p>
    <w:p>
      <w:pPr>
        <w:spacing w:line="360" w:lineRule="auto" w:after="120"/>
        <w:ind w:firstLine="420"/>
        <w:jc w:val="both"/>
      </w:pPr>
      <w:r>
        <w:rPr>
          <w:rFonts w:ascii="Times New Roman" w:hAnsi="Times New Roman" w:eastAsia="仿宋"/>
          <w:b w:val="0"/>
          <w:sz w:val="24"/>
        </w:rPr>
        <w:t>受体回收动力学与溶酶体分选效率的联立评估，是区分“结合成功”与“降解成功”的关键实验环节之一。</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第一节受体决策框架确定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（一）靶向臂：按结合分子类型分组</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靶向臂的可选范围已从抗体扩展至小分子、肽段、适体和基因编码结合蛋白。按制备与偶联方式，可归纳为四条主线。</w:t>
      </w:r>
    </w:p>
    <w:p>
      <w:pPr>
        <w:spacing w:line="360" w:lineRule="auto" w:after="120"/>
        <w:ind w:firstLine="420"/>
        <w:jc w:val="both"/>
      </w:pPr>
      <w:r>
        <w:rPr>
          <w:rFonts w:ascii="Times New Roman" w:hAnsi="Times New Roman" w:eastAsia="仿宋"/>
          <w:b w:val="0"/>
          <w:sz w:val="24"/>
        </w:rPr>
        <w:t>抗体靶向臂亲和力强、可及性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小分子与肽段靶向臂分子量较低、组织渗透性较好。Caianiello等的MoDE-A以双功能小分子同时结合靶蛋白和ASGPR，实现了整合素等靶点的溶酶体降解，分子量显著低于抗体偶联物。Ahn等以肽段结合剂降解整合素，表明靶向臂不必局限于完整抗体。（参考文献：《Bifunctional small molecules that mediate the degradation of extracellular proteins》[9]；《LYTACs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适体靶向臂兼具合成简便和可化学修饰的优势。Wu等以适体连接tri-GalNAc实现肝细胞中PDGF和PTK7的降解；Li等设计DNA适体靶向PD-L1，通过生物正交反应增强适体与靶蛋白的共价结合，再偶联溶酶体靶向模块，在肿瘤动物模型中诱导了强于抗PD-L1抗体的T细胞浸润和细胞因子释放，为“降解优于阻断”提供了体内证据。（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基因编码结合蛋白（affibody、纳米抗体、IgG结合Z结构域等）可与受体臂融合表达，缩短靶点切换周期。Zhang等的iLYTAC以多种结合蛋白为靶向臂、IGF2为受体臂，覆盖EGFR、PD-L1、CD20和α-突触核蛋白等靶点；Huang等的EndoTag融合不同靶蛋白结合蛋白后，可定向至IGF2R或ASGPR等不同受体。（参考文献：《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（二）受体臂：按制备路线分组</w:t>
      </w:r>
    </w:p>
    <w:p>
      <w:pPr>
        <w:spacing w:line="360" w:lineRule="auto" w:after="120"/>
        <w:ind w:firstLine="420"/>
        <w:jc w:val="both"/>
      </w:pPr>
      <w:r>
        <w:rPr>
          <w:rFonts w:ascii="Times New Roman" w:hAnsi="Times New Roman" w:eastAsia="仿宋"/>
          <w:b w:val="0"/>
          <w:sz w:val="24"/>
        </w:rPr>
        <w:t>受体臂的工程实现可按“化学偶联”与“基因编码”两条主线组织，并以前述第一节的受体生物学依据为选型前提。</w:t>
      </w:r>
    </w:p>
    <w:p>
      <w:pPr>
        <w:spacing w:line="360" w:lineRule="auto" w:after="120"/>
        <w:ind w:firstLine="420"/>
        <w:jc w:val="both"/>
      </w:pPr>
      <w:r>
        <w:rPr>
          <w:rFonts w:ascii="Times New Roman" w:hAnsi="Times New Roman" w:eastAsia="仿宋"/>
          <w:b w:val="0"/>
          <w:sz w:val="24"/>
        </w:rPr>
        <w:t>基于CI-M6PR广谱受体（第一节已述其组织分布与内源性配体竞争约束），化学偶联路线以多价M6P聚糖为典型受体臂。Banik等采用化学合成M6P聚糖与靶向模块偶联，奠定了聚糖-蛋白LYTAC的基本架构。Kim等以糖工程酵母发酵制备人源兼容的gyM6pG聚糖，通过无铜点击化学与纳米抗体偶联，在沿用CI-M6PR受体臂的同时降低了聚糖合成门槛。（参考文献：《Lysosome-targeting chimaeras for degradation of extracellular proteins》[1]；《Lysosome-Targeting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基于ASGPR肝靶向受体（第一节已述其组织定向优势），化学偶联路线主要采用tri-GalNAc配体与靶向臂偶联。Ahn等构建GalNAc-LYTAC，在肝细胞中实现EGFR高效降解；与抑制性抗体相比，对EGFR下游信号抑制更持久，表明受体臂更换可直接改变降解发生的组织部位。Wu等的Apt-LYTAC将适体靶向臂与tri-GalNAc受体臂组合，进一步验证了肝定向化学偶联平台的模块可替换性。（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其中一条路线是利用细胞因子受体等天然高周转膜蛋白触发靶蛋白共内化：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该策略将受体臂功能嵌入天然内吞过程，但需评估配体占用对受体生理信号传导的干扰。（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另一条基因编码路线仍以经典LTR为终点：Zhang等的iLYTAC以IGF2多肽结合CI-M6PR，Huang等的EndoTag以人工设计蛋白结合IGF2R或ASGPR，二者均避免了聚糖化学修饰。（参考文献：《Designed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此外，还存在绕过外源LTR配体、直接利用内吞分选信号的策略：Fang等的SignalTAC将CI-M6PR来源的酪氨酸基内吞信号肽P3与靶蛋白结合模块融合，在不依赖外源聚糖配体的情况下诱导靶蛋白溶酶体降解，在膜蛋白靶向降解中显示出优于亲本抗体的活性。该路线将受体臂功能转化为内源性分选信号，组织定向性取决于内吞信号来源与靶细胞分选机器的差异。（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（三）连接子与偶联化学</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Fang等在SignalTAC中通过优化靶蛋白结合模块与内吞信号肽之间的肽链接头，实现了膜蛋白的高效降解，说明连接子优化在基因编码平台中同样不可或缺。化学偶联路线中，偶联位点和偶联数不一致会直接影响降解活性重现性；基因编码路线中，柔性肽链的长度和氨基酸组成影响融合蛋白的表达与折叠。（参考文献：《LYTACs that engage the asialoglycoprotein receptor for targeted protein degradation》[2]；《Targeted degradation of membrane and extracellular proteins with LYTACs》[7]；《Lysosome-targeting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（四）平台组合与制备路线选择</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制备路线可按受体臂类型分为三条主线：化学偶联聚糖臂（Banik、Kim）、化学合成小分子臂（Caianiello）和基因编码蛋白臂（Pance、Huang、Zhang、Fang）。前者的优势在于结构可精细调控，后者的优势在于批次均一性和靶点切换速度。（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各平台在制备难度、靶点切换灵活性和组织定向能力上各有权衡，选择时应与第一节确定的受体类型和疾病场景相匹配，而非单纯追求体外降解率最高。</w:t>
      </w:r>
    </w:p>
    <w:p>
      <w:pPr>
        <w:spacing w:line="360" w:lineRule="auto" w:after="120"/>
        <w:ind w:firstLine="420"/>
        <w:jc w:val="both"/>
      </w:pPr>
      <w:r>
        <w:rPr>
          <w:rFonts w:ascii="Times New Roman" w:hAnsi="Times New Roman" w:eastAsia="仿宋"/>
          <w:b w:val="0"/>
          <w:sz w:val="24"/>
        </w:rPr>
        <w:t>从平台可替换性看，Pance等的KineTAC可通过更换靶蛋白结合臂降解多个靶点而保留同一受体臂；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选择化学合成与基因编码路线时，应综合靶点切换频率、生产规模和分子均一性要求：发现阶段更适合KineTAC或iLYTAC等基因编码平台；需要精细调节配体价态和连接子长度的优化阶段则更适合化学偶联平台。（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从代表性研究的演进逻辑看，Banik等、Ahn等、Pance等和Li等分别对应“能否降解”“在哪里降解”“如何模块化生产”和“降解是否优于阻断”四个工程节点，构成评价新LYTAC研究价值的基本坐标系。</w:t>
      </w:r>
    </w:p>
    <w:p>
      <w:pPr>
        <w:spacing w:line="360" w:lineRule="auto" w:after="120"/>
        <w:ind w:firstLine="420"/>
        <w:jc w:val="both"/>
      </w:pPr>
      <w:r>
        <w:rPr>
          <w:rFonts w:ascii="Times New Roman" w:hAnsi="Times New Roman" w:eastAsia="仿宋"/>
          <w:b w:val="0"/>
          <w:sz w:val="24"/>
        </w:rPr>
        <w:t>在活性评价层面，Banik等建立的溶酶体抑制剂确证范式，已成为化学偶联与基因编码平台的共同参照。（参考文献：《Lysosome-targeting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需要强调的是，受体-模块匹配并非一次性静态决策：同一靶点在不同疾病分期、不同给药途径或联合用药背景下，最优受体臂与制备路线可能发生变化。例如，肿瘤免疫治疗早期可能优先考虑广谱降解以快速清除免疫检查点，而维持治疗阶段则可能更需要组织定向策略以降低脱靶免疫毒性。</w:t>
      </w:r>
    </w:p>
    <w:p>
      <w:pPr>
        <w:spacing w:line="360" w:lineRule="auto" w:after="120"/>
        <w:ind w:firstLine="420"/>
        <w:jc w:val="both"/>
      </w:pPr>
      <w:r>
        <w:rPr>
          <w:rFonts w:ascii="Times New Roman" w:hAnsi="Times New Roman" w:eastAsia="仿宋"/>
          <w:b w:val="0"/>
          <w:sz w:val="24"/>
        </w:rPr>
        <w:t>在实验设计层面，比较不同工程策略时应尽量固定靶向臂和连接子条件，仅改变受体臂类型，以避免将模块差异误判为受体生物学差异；评估内源性配体竞争时，应在多种细胞背景下重复验证，因为受体表达水平和内源性配体丰度均存在细胞系特异性。</w:t>
      </w:r>
    </w:p>
    <w:p>
      <w:pPr>
        <w:spacing w:line="360" w:lineRule="auto" w:after="120"/>
        <w:ind w:firstLine="420"/>
        <w:jc w:val="both"/>
      </w:pPr>
      <w:r>
        <w:rPr>
          <w:rFonts w:ascii="Times New Roman" w:hAnsi="Times New Roman" w:eastAsia="仿宋"/>
          <w:b w:val="0"/>
          <w:sz w:val="24"/>
        </w:rPr>
        <w:t>抗体靶向臂与小分子、适体靶向臂的选择，本质上是在亲和力、分子量、可修饰性和制备成本之间权衡：较小分子量的靶向臂有利于组织渗透，高亲和力抗体或共价适体则更有利于维持高更新速率靶点的降解通量。（参考文献：《Covalent LYTAC enabled by DNA aptamers for immune checkpoint degradation therapy》[4]；《Bifunctional small molecules that mediate the degradation of extracellular proteins》[9]）</w:t>
      </w:r>
    </w:p>
    <w:p>
      <w:pPr>
        <w:spacing w:line="360" w:lineRule="auto" w:after="120"/>
        <w:ind w:firstLine="420"/>
        <w:jc w:val="both"/>
      </w:pPr>
      <w:r>
        <w:rPr>
          <w:rFonts w:ascii="Times New Roman" w:hAnsi="Times New Roman" w:eastAsia="仿宋"/>
          <w:b w:val="0"/>
          <w:sz w:val="24"/>
        </w:rPr>
        <w:t>在质量属性层面，化学偶联平台需关注偶联位点、偶联数和聚集体控制；基因编码平台需关注融合蛋白表达量、折叠正确性和宿主细胞糖基化差异。Kim等的酵母聚糖路线在降低受体臂合成难度的同时，仍需解决聚糖结构表征和批次间一致性评价问题。无论采用哪条制备主线，均需在临床前阶段明确关键质量属性与降解活性的关联，否则难以支撑工艺放大和监管申报。（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并非单一分子类型的线性迭代，而是以靶向臂、受体臂和连接子三模块为基础的可组合平台。药物设计应先在第一节受体决策框架内确定受体臂类型，再匹配适宜的靶向臂和连接子策略；平台化的前提是建立针对特定“靶点-组织-制备”组合的标准优化流程。</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 [1]）图3  Ahn等GalNAc-LYTAC的肝定向降解示意及EGFR下游信号抑制时程，表明受体臂更换可将降解限制在肝脏并延长药效持续时间。（引自：Ahn G, et al. Nat Chem Biol, 2021, 17(9): 937-946 [2]）图4  Pance等KineTAC的模块化架构及多靶点降解效率，表明更换靶向臂即可在保留受体臂的前提下切换靶蛋白。（引自：Pance K, et al. Nat Biotechnol, 2023, 41(2): 273-281 [3]）图5  Li等共价适体LYTAC在肿瘤模型中的PD-L1清除及T细胞浸润，表明降解策略可在体内产生优于抗体阻断的免疫激活效应。（引自：Li Y, et al. J Am Chem Soc, 2023, 145(45): 24506-24521 [4]）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本节从疾病场景出发，系统评估降解策略相对单纯阻断的增益证据及其局限。评价的核心指标包括：靶蛋白清除幅度、下游信号抑制持续时间、免疫功能激活程度及全身脱靶风险。</w:t>
      </w:r>
    </w:p>
    <w:p>
      <w:pPr>
        <w:spacing w:line="360" w:lineRule="auto" w:after="120"/>
        <w:ind w:firstLine="420"/>
        <w:jc w:val="both"/>
      </w:pPr>
      <w:r>
        <w:rPr>
          <w:rFonts w:ascii="Times New Roman" w:hAnsi="Times New Roman" w:eastAsia="仿宋"/>
          <w:b w:val="0"/>
          <w:sz w:val="24"/>
        </w:rPr>
        <w:t>在肿瘤免疫方向，PD-L1是最具代表性的比较靶点。Banik等首次证明PD-L1可被LYTAC降解；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肿瘤膜蛋白靶点拓展方面，Pance等的KineTAC在HER2、TROP2等靶点上实现了51%—93%的降解效率；Zhang等的iLYTAC在异种移植瘤模型中验证了抗肿瘤活性。对于高更新速率的膜蛋白靶点，仍须评估靶蛋白重新合成是否会抵消降解效应，需在长期给药实验中加以考察。（参考文献：《Modular cytokine receptor-targeting chimeras for targeted degradation of cell surface and extracellular proteins》[3]；《Insulin-like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参考文献：《Covalent LYTAC enabled by DNA aptamers for immune checkpoint degradation therapy》[4]；《Lysosome-targeting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该领域尚缺乏降解与阻断的直接对照实验，但病灶激活策略旨在解决全身给药脱靶这一阻断策略难以回避的问题。（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w:t>
      </w:r>
    </w:p>
    <w:p>
      <w:pPr>
        <w:spacing w:line="360" w:lineRule="auto" w:after="120"/>
        <w:ind w:firstLine="420"/>
        <w:jc w:val="both"/>
      </w:pPr>
      <w:r>
        <w:rPr>
          <w:rFonts w:ascii="Times New Roman" w:hAnsi="Times New Roman" w:eastAsia="仿宋"/>
          <w:b w:val="0"/>
          <w:sz w:val="24"/>
        </w:rPr>
        <w:t>对于分泌蛋白和聚集体靶点，评价逻辑需从“膜蛋白清除”转向“胞外池耗竭”，病理沉积物的清除效率是核心终点而非与传统抑制剂的活性比较。</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Fang等的SignalTAC在膜蛋白降解中显示出优于亲本抗体的抗肿瘤活性，与Li等的PD-L1研究形成互补，表明不同工程路径均可达成彻底清除靶蛋白的药理学目标。（参考文献：《Lysosome-targeting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w:t>
      </w:r>
    </w:p>
    <w:p>
      <w:pPr>
        <w:spacing w:line="360" w:lineRule="auto" w:after="120"/>
        <w:ind w:firstLine="420"/>
        <w:jc w:val="both"/>
      </w:pPr>
      <w:r>
        <w:rPr>
          <w:rFonts w:ascii="Times New Roman" w:hAnsi="Times New Roman" w:eastAsia="仿宋"/>
          <w:b w:val="0"/>
          <w:sz w:val="24"/>
        </w:rPr>
        <w:t>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line="360" w:lineRule="auto" w:after="120"/>
        <w:ind w:firstLine="420"/>
        <w:jc w:val="both"/>
      </w:pPr>
      <w:r>
        <w:rPr>
          <w:rFonts w:ascii="Times New Roman" w:hAnsi="Times New Roman" w:eastAsia="仿宋"/>
          <w:b w:val="0"/>
          <w:sz w:val="24"/>
        </w:rPr>
        <w:t>建立疾病场景特异性的评价标准，有助于避免将肿瘤免疫领域的结论不加区分地外推至其他适应症领域。</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监管与临床证据方面，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Fang等的SignalTAC和Liu等的病灶激活前体表明，疾病病理特征本身可作为药物设计输入，为克服组织选择性不足提供了非常规思路。（参考文献：《Biomarker-activated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其中，头对头比较实验应纳入功能终点而不仅是蛋白清除百分比，以明确降解策略相对阻断的真实获益边界。</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含聚糖或外源蛋白的偶联物还存在潜在免疫原性，需在反复给药动物实验中系统评估。（参考文献：《Covalent LYTAC enabled by DNA aptamers for immune checkpoint degradation therapy》[4]；《Aptamer-LYTACs for targeted degradation of extracellular and membrane proteins》[6]）</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此外，Huang等揭示的内源性配体竞争是CI-M6PR路线的生物学约束之一；Fang等开发的内吞信号肽策略以及Liu等的病灶激活前体，则为克服组织选择性不足提供了工程应对思路。（参考文献：《Designed endocytosis-inducing proteins degrade targets and amplify signals》[12]；《Biomarker-activated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line="360" w:lineRule="auto" w:after="120"/>
        <w:ind w:firstLine="420"/>
        <w:jc w:val="both"/>
      </w:pPr>
      <w:r>
        <w:rPr>
          <w:rFonts w:ascii="Times New Roman" w:hAnsi="Times New Roman" w:eastAsia="仿宋"/>
          <w:b w:val="0"/>
          <w:sz w:val="24"/>
        </w:rPr>
        <w:t>在工艺放大层面，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安全性评价层面，脱靶降解正常组织蛋白是LYTAC特有的风险类型，不同于传统抗体阻断的“占用受体”风险。广谱CI-M6PR路线可能放大脱靶效应的不可预测性；肝定向ASGPR路线虽可缩小降解地理范围，但需评估肝细胞非靶蛋白的意外清除。系统的组织病理学和蛋白组学监测，应成为LYTAC临床前安全性评价的常规组成部分。（参考文献：《LYTACs that engage the asialoglycoprotein receptor for targeted protein degradation》[2]）</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LYTAC的核心科学问题已基本明确，成药瓶颈主要集中在工艺可放大性、组织选择性和临床前证据体系三方面。在上述瓶颈未解决前，不宜将LYTAC视为接近临床的成熟技术平台。</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line="360" w:lineRule="auto" w:after="120"/>
        <w:ind w:firstLine="420"/>
        <w:jc w:val="both"/>
      </w:pPr>
      <w:r>
        <w:rPr>
          <w:rFonts w:ascii="Times New Roman" w:hAnsi="Times New Roman" w:eastAsia="仿宋"/>
          <w:b w:val="0"/>
          <w:sz w:val="24"/>
        </w:rPr>
        <w:t>本综述的结构安排亦体现了上述逻辑：第一节聚焦“选哪个受体、为什么”，第二节聚焦“如何装配分子模块”，第三、四节分别评估疾病证据与转化障碍。这一分层有助于避免受体生物学与分子工程论述的交叉重复，使读者在每一节获得清晰、不重叠的信息增量。</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