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这也是后续需要继续跟踪的问题。本文写作过程中主要参考了Nature、Science、Nature Chemical Biology、Nature Biotechnology以及几篇近年的综述文章，尽量只引用已经正式发表的研究成果。</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w:t>
      </w:r>
    </w:p>
    <w:p>
      <w:pPr>
        <w:spacing w:line="360" w:lineRule="auto" w:after="120"/>
        <w:ind w:firstLine="420"/>
        <w:jc w:val="both"/>
      </w:pPr>
      <w:r>
        <w:rPr>
          <w:rFonts w:ascii="Times New Roman" w:hAnsi="Times New Roman" w:eastAsia="仿宋"/>
          <w:b w:val="0"/>
          <w:sz w:val="24"/>
        </w:rPr>
        <w:t>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Bekes等（2022）在讨论PROTAC时也提到，胞外蛋白降解是靶向蛋白降解领域正在拓展的方向。本文是在阅读文献基础上整理的学习笔记式综述，主要想说明生物医学认识怎样影响LYTAC这类新药的研发思路，并梳理几篇代表性论文的主要结论。</w:t>
      </w:r>
    </w:p>
    <w:p>
      <w:pPr>
        <w:spacing w:line="360" w:lineRule="auto" w:after="120"/>
        <w:ind w:firstLine="420"/>
        <w:jc w:val="both"/>
      </w:pPr>
      <w:r>
        <w:rPr>
          <w:rFonts w:ascii="Times New Roman" w:hAnsi="Times New Roman" w:eastAsia="仿宋"/>
          <w:b w:val="0"/>
          <w:sz w:val="24"/>
        </w:rPr>
        <w:t>在写作过程中，我尽量按照课程要求选择正式发表的一区或高水平综述论文，避免引用未正式发表的材料，以保证文献来源可靠。</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一、LYTAC技术的基本原理与分子架构</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拉住靶蛋白和受体后，会形成三元复合物，随后通过内吞进入内体，再进一步分选到溶酶体，靶蛋白最终被水解（图1）。</w:t>
      </w:r>
    </w:p>
    <w:p>
      <w:pPr>
        <w:spacing w:line="360" w:lineRule="auto" w:after="120"/>
        <w:ind w:firstLine="420"/>
        <w:jc w:val="both"/>
      </w:pPr>
      <w:r>
        <w:rPr>
          <w:rFonts w:ascii="Times New Roman" w:hAnsi="Times New Roman" w:eastAsia="仿宋"/>
          <w:b w:val="0"/>
          <w:sz w:val="24"/>
        </w:rPr>
        <w:t>Chen等（2023）在Trends in Pharmacological Sciences上发表的综述指出，LYTAC属于依赖溶酶体的胞外蛋白降解策略，与PROTAC的作用通路不同。</w:t>
      </w:r>
    </w:p>
    <w:p>
      <w:pPr>
        <w:spacing w:line="360" w:lineRule="auto" w:after="120"/>
        <w:ind w:firstLine="420"/>
        <w:jc w:val="both"/>
      </w:pPr>
      <w:r>
        <w:rPr>
          <w:rFonts w:ascii="Times New Roman" w:hAnsi="Times New Roman" w:eastAsia="仿宋"/>
          <w:b w:val="0"/>
          <w:sz w:val="24"/>
        </w:rPr>
        <w:t>Sun等（2024）在Signal Transduction and Targeted Therapy的综述中也把LYTAC列为近年来靶向蛋白降解的重要进展之一。</w:t>
      </w:r>
    </w:p>
    <w:p>
      <w:pPr>
        <w:spacing w:line="360" w:lineRule="auto" w:after="120"/>
        <w:ind w:firstLine="420"/>
        <w:jc w:val="both"/>
      </w:pPr>
      <w:r>
        <w:rPr>
          <w:rFonts w:ascii="Times New Roman" w:hAnsi="Times New Roman" w:eastAsia="仿宋"/>
          <w:b w:val="0"/>
          <w:sz w:val="24"/>
        </w:rPr>
        <w:t>这个过程和抗体单纯阻断靶蛋白不同。抗体通常只是占据结合位点，而LYTAC的目标是减少靶蛋白本身的含量。文献中一般认为，这类分子属于事件驱动型作用方式，也就是不要求结合剂本身具有抑制活性，只要能抓住靶蛋白即可。另外，由于降解发生在溶酶体，靶蛋白的信号传导功能和蛋白相互作用都可能随之减弱。</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目前已报道的LTR包括CI-M6PR（也称IGF2R）、ASGPR、整合素以及部分细胞因子受体等。Zhou等（2024）在Journal of Medicinal Chemistry讨论了LYTAC可选择的受体空间，说明受体类型正在不断增加。不同受体在组织分布和内吞特性上差别较大，所以受体选择会直接影响LYTAC作用的位置和效率。这一点在药物设计时不能只看靶蛋白本身，还要考虑受体在哪些细胞上表达。</w:t>
      </w:r>
    </w:p>
    <w:p>
      <w:pPr>
        <w:spacing w:line="360" w:lineRule="auto" w:after="120"/>
        <w:ind w:firstLine="420"/>
        <w:jc w:val="both"/>
      </w:pPr>
      <w:r>
        <w:rPr>
          <w:rFonts w:ascii="Times New Roman" w:hAnsi="Times New Roman" w:eastAsia="仿宋"/>
          <w:b w:val="0"/>
          <w:sz w:val="24"/>
        </w:rPr>
        <w:t>对我个人而言，LYTAC最难理解的部分并不是化学结构，而是受体被占用、复合物被回收以及内体怎样分选到溶酶体这些细胞过程。</w:t>
      </w:r>
    </w:p>
    <w:p>
      <w:pPr>
        <w:spacing w:line="360" w:lineRule="auto" w:after="120"/>
        <w:ind w:firstLine="420"/>
        <w:jc w:val="both"/>
      </w:pPr>
      <w:r>
        <w:rPr>
          <w:rFonts w:ascii="Times New Roman" w:hAnsi="Times New Roman" w:eastAsia="仿宋"/>
          <w:b w:val="0"/>
          <w:sz w:val="24"/>
        </w:rPr>
        <w:t>只有把分子设计和细胞生物学结合起来，才更容易看懂相关论文中的实验结果。</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LYTAC介导的胞外及膜蛋白溶酶体降解机制示意图。LYTAC同时结合靶蛋白与溶酶体靶向受体（LTR），经内吞-溶酶体途径实现靶蛋白降解。（引自：Banik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二、LYTAC技术的关键设计要素与生物医学考量</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从文献来看，LYTAC的效果并不只由化学结构决定，细胞本身的生物学环境也很重要。在设计分子时，至少需要考虑靶蛋白结合剂、受体配体和连接子三个方面。</w:t>
      </w:r>
    </w:p>
    <w:p>
      <w:pPr>
        <w:spacing w:line="360" w:lineRule="auto" w:after="120"/>
        <w:ind w:firstLine="420"/>
        <w:jc w:val="both"/>
      </w:pPr>
      <w:r>
        <w:rPr>
          <w:rFonts w:ascii="Times New Roman" w:hAnsi="Times New Roman" w:eastAsia="仿宋"/>
          <w:b w:val="0"/>
          <w:sz w:val="24"/>
        </w:rPr>
        <w:t>靶蛋白结合剂需要有足够亲和力，但不要求一定抑制靶蛋白活性。膜蛋白常用抗体片段或纳米抗体，分泌蛋白可用抗体或肽段，部分研究则使用DNA适体作为结合模块。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Biology还报道了另一种降解胞外蛋白的小分子策略MoDE，说明除了经典LYTAC，相关思路还在向不同分子类型扩展。</w:t>
      </w:r>
    </w:p>
    <w:p>
      <w:pPr>
        <w:spacing w:line="360" w:lineRule="auto" w:after="120"/>
        <w:ind w:firstLine="420"/>
        <w:jc w:val="both"/>
      </w:pPr>
      <w:r>
        <w:rPr>
          <w:rFonts w:ascii="Times New Roman" w:hAnsi="Times New Roman" w:eastAsia="仿宋"/>
          <w:b w:val="0"/>
          <w:sz w:val="24"/>
        </w:rPr>
        <w:t>2023年Ahn等在Science上发表的工作进一步说明，细胞内多条通路会影响LYTAC降解效率，例如retromer介导的循环回收、CUL3的neddylation修饰，以及M6P生物合成对CI-M6PR受体的占用等。这说明同一种LYTAC在不同细胞系中效果可能差很多，也提示后续药物研发需要更多细胞生物学层面的支持。</w:t>
      </w:r>
    </w:p>
    <w:p>
      <w:pPr>
        <w:spacing w:line="360" w:lineRule="auto" w:after="120"/>
        <w:ind w:firstLine="420"/>
        <w:jc w:val="both"/>
      </w:pPr>
      <w:r>
        <w:rPr>
          <w:rFonts w:ascii="Times New Roman" w:hAnsi="Times New Roman" w:eastAsia="仿宋"/>
          <w:b w:val="0"/>
          <w:sz w:val="24"/>
        </w:rPr>
        <w:t>Li等（2025）在总结影响降解效率的因素时，还提到了配体价态、连接子长度和结合表位等分子层面的变量，说明分子设计和细胞环境需要同时考虑。</w:t>
      </w:r>
    </w:p>
    <w:p>
      <w:pPr>
        <w:spacing w:before="240" w:after="120" w:line="360" w:lineRule="auto"/>
        <w:ind w:firstLine="0"/>
        <w:jc w:val="left"/>
      </w:pPr>
      <w:r>
        <w:rPr>
          <w:rFonts w:ascii="Times New Roman" w:hAnsi="Times New Roman" w:eastAsia="仿宋"/>
          <w:b/>
          <w:sz w:val="24"/>
        </w:rPr>
        <w:t>三、代表性研究实例</w:t>
      </w:r>
    </w:p>
    <w:p>
      <w:pPr>
        <w:spacing w:before="240" w:after="120" w:line="360" w:lineRule="auto"/>
        <w:ind w:firstLine="0"/>
        <w:jc w:val="left"/>
      </w:pPr>
      <w:r>
        <w:rPr>
          <w:rFonts w:ascii="Times New Roman" w:hAnsi="Times New Roman" w:eastAsia="仿宋"/>
          <w:b/>
          <w:sz w:val="24"/>
        </w:rPr>
        <w:t>实例一：LYTAC概念的建立与模块化降解平台的奠基（Nature, 2020）</w:t>
      </w:r>
    </w:p>
    <w:p>
      <w:pPr>
        <w:spacing w:line="360" w:lineRule="auto" w:after="120"/>
        <w:ind w:firstLine="420"/>
        <w:jc w:val="both"/>
      </w:pPr>
      <w:r>
        <w:rPr>
          <w:rFonts w:ascii="Times New Roman" w:hAnsi="Times New Roman" w:eastAsia="仿宋"/>
          <w:b w:val="0"/>
          <w:sz w:val="24"/>
        </w:rPr>
        <w:t>Banik等在Nature（2020, 584卷7820期, 291-297页）发表了LYTAC领域的开创性工作，论文题目为Lysosome-targeting chimaeras for degradation of extracellular proteins。这项研究较早较完整地证明，可以把胞外和膜蛋白导向溶酶体降解。</w:t>
      </w:r>
    </w:p>
    <w:p>
      <w:pPr>
        <w:spacing w:line="360" w:lineRule="auto" w:after="120"/>
        <w:ind w:firstLine="420"/>
        <w:jc w:val="both"/>
      </w:pPr>
      <w:r>
        <w:rPr>
          <w:rFonts w:ascii="Times New Roman" w:hAnsi="Times New Roman" w:eastAsia="仿宋"/>
          <w:b w:val="0"/>
          <w:sz w:val="24"/>
        </w:rPr>
        <w:t>Li等（2025）在Acta Pharmacologica Sinica的综述中，把这项工作称为LYTAC技术发展的起点。</w:t>
      </w:r>
    </w:p>
    <w:p>
      <w:pPr>
        <w:spacing w:line="360" w:lineRule="auto" w:after="120"/>
        <w:ind w:firstLine="420"/>
        <w:jc w:val="both"/>
      </w:pPr>
      <w:r>
        <w:rPr>
          <w:rFonts w:ascii="Times New Roman" w:hAnsi="Times New Roman" w:eastAsia="仿宋"/>
          <w:b w:val="0"/>
          <w:sz w:val="24"/>
        </w:rPr>
        <w:t>作者将靶向模块与CI-M6PR配体通过连接子连接，构建了首批LYTAC分子。他们还利用CRISPR筛选研究了LYTAC的内吞通路，发现外泌体复合体（exocyst complex）参与这一过程，说明这项研究并不只是做分子，也在补充受体介导内吞的基础认识。</w:t>
      </w:r>
    </w:p>
    <w:p>
      <w:pPr>
        <w:spacing w:line="360" w:lineRule="auto" w:after="120"/>
        <w:ind w:firstLine="420"/>
        <w:jc w:val="both"/>
      </w:pPr>
      <w:r>
        <w:rPr>
          <w:rFonts w:ascii="Times New Roman" w:hAnsi="Times New Roman" w:eastAsia="仿宋"/>
          <w:b w:val="0"/>
          <w:sz w:val="24"/>
        </w:rPr>
        <w:t>实验中，LYTAC成功降解了ApoE4、EGFR、CD71和PD-L1等蛋白。以EGFR为例，处理后受体水平在数小时内明显下降，而溶酶体抑制剂可以阻断这一效应，说明溶酶体途径是主要降解路径。PD-L1被降解后，肿瘤细胞的免疫逃逸能力也有所减弱。这篇论文的重要性在于，它把靶向蛋白降解从胞内拓展到了胞外和膜蛋白，也为后续很多研究提供了基本框架。</w:t>
      </w:r>
    </w:p>
    <w:p>
      <w:pPr>
        <w:spacing w:line="360" w:lineRule="auto" w:after="120"/>
        <w:ind w:firstLine="420"/>
        <w:jc w:val="both"/>
      </w:pPr>
      <w:r>
        <w:rPr>
          <w:rFonts w:ascii="Times New Roman" w:hAnsi="Times New Roman" w:eastAsia="仿宋"/>
          <w:b w:val="0"/>
          <w:sz w:val="24"/>
        </w:rPr>
        <w:t>作者还测试了ApoE4的降解。ApoE4是阿尔茨海默病研究中较受关注的蛋白，这说明LYTAC并不只面向肿瘤靶点，在神经退行性疾病相关蛋白上也有探索价值。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首批LYTAC分子的结构设计与CI-M6PR介导的靶蛋白降解验证。（引自：Banik S M, Pedram K, Wisnovsky S, et al. Lysosome-targeting chimaeras for degradation of extracellular proteins. Nature, 2020, 584(7820): 291-297.）</w:t>
      </w:r>
    </w:p>
    <w:p>
      <w:pPr>
        <w:spacing w:before="240" w:after="120" w:line="360" w:lineRule="auto"/>
        <w:ind w:firstLine="0"/>
        <w:jc w:val="left"/>
      </w:pPr>
      <w:r>
        <w:rPr>
          <w:rFonts w:ascii="Times New Roman" w:hAnsi="Times New Roman" w:eastAsia="仿宋"/>
          <w:b/>
          <w:sz w:val="24"/>
        </w:rPr>
        <w:t>实例二：肝靶向GalNAc-LYTAC的开发与组织特异性降解（Nature Chemical Biology, 2021）</w:t>
      </w:r>
    </w:p>
    <w:p>
      <w:pPr>
        <w:spacing w:line="360" w:lineRule="auto" w:after="120"/>
        <w:ind w:firstLine="420"/>
        <w:jc w:val="both"/>
      </w:pPr>
      <w:r>
        <w:rPr>
          <w:rFonts w:ascii="Times New Roman" w:hAnsi="Times New Roman" w:eastAsia="仿宋"/>
          <w:b w:val="0"/>
          <w:sz w:val="24"/>
        </w:rPr>
        <w:t>第一代LYTAC主要依赖CI-M6PR，而该受体在多种组织中都有表达，因此组织选择性不够理想。2021年，Ahn等在Nature Chemical Biology（17卷937-946页）报道了一种结合ASGPR的GalNAc-LYTAC。ASGPR主要在肝细胞表达，此前也已被用于肝靶向核酸递送，因此这项研究的意义在于把LYTAC进一步推向组织特异性降解。</w:t>
      </w:r>
    </w:p>
    <w:p>
      <w:pPr>
        <w:spacing w:line="360" w:lineRule="auto" w:after="120"/>
        <w:ind w:firstLine="420"/>
        <w:jc w:val="both"/>
      </w:pPr>
      <w:r>
        <w:rPr>
          <w:rFonts w:ascii="Times New Roman" w:hAnsi="Times New Roman" w:eastAsia="仿宋"/>
          <w:b w:val="0"/>
          <w:sz w:val="24"/>
        </w:rPr>
        <w:t>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这项研究说明，受体选择本身就是药物设计的一部分，而不仅仅是靶蛋白结合问题。</w:t>
      </w:r>
    </w:p>
    <w:p>
      <w:pPr>
        <w:spacing w:line="360" w:lineRule="auto" w:after="120"/>
        <w:ind w:firstLine="420"/>
        <w:jc w:val="both"/>
      </w:pPr>
      <w:r>
        <w:rPr>
          <w:rFonts w:ascii="Times New Roman" w:hAnsi="Times New Roman" w:eastAsia="仿宋"/>
          <w:b w:val="0"/>
          <w:sz w:val="24"/>
        </w:rPr>
        <w:t>Li等（2025）把这类工作归纳为第二代组织特异性LYTAC，认为肝靶向设计对减少脱靶效应有一定帮助。</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图3  GalNAc-LYTAC的结构及ASGPR介导的肝特异性靶蛋白降解。（引自：Ahn G, Banik S M, Miller C L, et al. LYTACs that engage the asialoglycoprotein receptor for targeted protein degradation. Nature Chemical Biology, 2021, 17(9): 937-946.）</w:t>
      </w:r>
    </w:p>
    <w:p>
      <w:pPr>
        <w:spacing w:before="240" w:after="120" w:line="360" w:lineRule="auto"/>
        <w:ind w:firstLine="0"/>
        <w:jc w:val="left"/>
      </w:pPr>
      <w:r>
        <w:rPr>
          <w:rFonts w:ascii="Times New Roman" w:hAnsi="Times New Roman" w:eastAsia="仿宋"/>
          <w:b/>
          <w:sz w:val="24"/>
        </w:rPr>
        <w:t>实例三：LYTAC降解效率的细胞决定因素解析（Science, 2023）</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随着研究深入，人们发现同一种LYTAC在不同细胞中的降解效率可能差别很大。这说明除了分子结构，细胞内部环境同样重要。2023年，Ahn等在Science（382卷, eadf6249）发表了一项全基因组CRISPR筛选研究，系统寻找影响LYTAC降解效率的基因。</w:t>
      </w:r>
    </w:p>
    <w:p>
      <w:pPr>
        <w:spacing w:line="360" w:lineRule="auto" w:after="120"/>
        <w:ind w:firstLine="420"/>
        <w:jc w:val="both"/>
      </w:pPr>
      <w:r>
        <w:rPr>
          <w:rFonts w:ascii="Times New Roman" w:hAnsi="Times New Roman" w:eastAsia="仿宋"/>
          <w:b w:val="0"/>
          <w:sz w:val="24"/>
        </w:rPr>
        <w:t>这项研究的重要性在于，它并不只是证明LYTAC可以工作，而是开始解释为什么有些细胞降解效果好、有些效果差。</w:t>
      </w:r>
    </w:p>
    <w:p>
      <w:pPr>
        <w:spacing w:line="360" w:lineRule="auto" w:after="120"/>
        <w:ind w:firstLine="420"/>
        <w:jc w:val="both"/>
      </w:pPr>
      <w:r>
        <w:rPr>
          <w:rFonts w:ascii="Times New Roman" w:hAnsi="Times New Roman" w:eastAsia="仿宋"/>
          <w:b w:val="0"/>
          <w:sz w:val="24"/>
        </w:rPr>
        <w:t>研究发现，retromer复合体可以把LYTAC-CI-M6PR复合物从内体回收至细胞膜，相当于削弱了降解过程。敲除相关基因后，EGFR降解效率明显提高，有些条件下可达到90%以上。</w:t>
      </w:r>
    </w:p>
    <w:p>
      <w:pPr>
        <w:spacing w:line="360" w:lineRule="auto" w:after="120"/>
        <w:ind w:firstLine="420"/>
        <w:jc w:val="both"/>
      </w:pPr>
      <w:r>
        <w:rPr>
          <w:rFonts w:ascii="Times New Roman" w:hAnsi="Times New Roman" w:eastAsia="仿宋"/>
          <w:b w:val="0"/>
          <w:sz w:val="24"/>
        </w:rPr>
        <w:t>另一个重要发现是CUL3的neddylation修饰。作者比较了11种细胞系，发现neddylated CUL3水平较高的细胞，EGFR降解效果更好。这意味着细胞本身的蛋白修饰状态，可能会影响LYTAC是否好用。</w:t>
      </w:r>
    </w:p>
    <w:p>
      <w:pPr>
        <w:spacing w:line="360" w:lineRule="auto" w:after="120"/>
        <w:ind w:firstLine="420"/>
        <w:jc w:val="both"/>
      </w:pPr>
      <w:r>
        <w:rPr>
          <w:rFonts w:ascii="Times New Roman" w:hAnsi="Times New Roman" w:eastAsia="仿宋"/>
          <w:b w:val="0"/>
          <w:sz w:val="24"/>
        </w:rPr>
        <w:t>研究还指出，细胞内源性M6P修饰蛋白会占用CI-M6PR受体，从而和LYTAC竞争结合位点。如果抑制M6P生物合成，游离受体增多，LYTAC效率也会提高。</w:t>
      </w:r>
    </w:p>
    <w:p>
      <w:pPr>
        <w:spacing w:line="360" w:lineRule="auto" w:after="120"/>
        <w:ind w:firstLine="420"/>
        <w:jc w:val="both"/>
      </w:pPr>
      <w:r>
        <w:rPr>
          <w:rFonts w:ascii="Times New Roman" w:hAnsi="Times New Roman" w:eastAsia="仿宋"/>
          <w:b w:val="0"/>
          <w:sz w:val="24"/>
        </w:rPr>
        <w:t>这篇论文让我印象较深的一点是，它把药物效率和基础细胞生物学直接联系了起来。以后如果要做LYTAC药物，可能不能只盯着分子本身，还要考虑不同组织和细胞类型的差异。</w:t>
      </w:r>
    </w:p>
    <w:p>
      <w:pPr>
        <w:spacing w:line="360" w:lineRule="auto" w:after="120"/>
        <w:ind w:firstLine="420"/>
        <w:jc w:val="both"/>
      </w:pPr>
      <w:r>
        <w:rPr>
          <w:rFonts w:ascii="Times New Roman" w:hAnsi="Times New Roman" w:eastAsia="仿宋"/>
          <w:b w:val="0"/>
          <w:sz w:val="24"/>
        </w:rPr>
        <w:t>Sun等（2024）在综述中也引用了这项研究，认为细胞通路调控可能是提高LYTAC效率的重要方向。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图4  全基因组CRISPR筛选揭示的LYTAC降解调控网络。（引自：Ahn G, Banik S M, Riley N M, et al. Elucidating the cellular determinants of targeted membrane protein degradation by lysosome-targeting chimeras. Science, 2023, 382(6668): eadf6249.）</w:t>
      </w:r>
    </w:p>
    <w:p>
      <w:pPr>
        <w:spacing w:before="240" w:after="120" w:line="360" w:lineRule="auto"/>
        <w:ind w:firstLine="0"/>
        <w:jc w:val="left"/>
      </w:pPr>
      <w:r>
        <w:rPr>
          <w:rFonts w:ascii="Times New Roman" w:hAnsi="Times New Roman" w:eastAsia="仿宋"/>
          <w:b/>
          <w:sz w:val="24"/>
        </w:rPr>
        <w:t>实例四：KineTAC模块化平台的建立与免疫检查点降解（Nature Biotechnology, 2023）</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Biotechnology（41卷273-281页）提出了KineTAC（cytokine receptor-targeting chimera）平台。</w:t>
      </w:r>
    </w:p>
    <w:p>
      <w:pPr>
        <w:spacing w:line="360" w:lineRule="auto" w:after="120"/>
        <w:ind w:firstLine="420"/>
        <w:jc w:val="both"/>
      </w:pPr>
      <w:r>
        <w:rPr>
          <w:rFonts w:ascii="Times New Roman" w:hAnsi="Times New Roman" w:eastAsia="仿宋"/>
          <w:b w:val="0"/>
          <w:sz w:val="24"/>
        </w:rPr>
        <w:t>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w:t>
      </w:r>
    </w:p>
    <w:p>
      <w:pPr>
        <w:spacing w:line="360" w:lineRule="auto" w:after="120"/>
        <w:ind w:firstLine="420"/>
        <w:jc w:val="both"/>
      </w:pPr>
      <w:r>
        <w:rPr>
          <w:rFonts w:ascii="Times New Roman" w:hAnsi="Times New Roman" w:eastAsia="仿宋"/>
          <w:b w:val="0"/>
          <w:sz w:val="24"/>
        </w:rPr>
        <w:t>论文中还比较了不同细胞因子臂对降解效率的影响，说明同一个平台在不同靶点上表现并不相同。</w:t>
      </w:r>
    </w:p>
    <w:p>
      <w:pPr>
        <w:spacing w:line="360" w:lineRule="auto" w:after="120"/>
        <w:ind w:firstLine="420"/>
        <w:jc w:val="both"/>
      </w:pPr>
      <w:r>
        <w:rPr>
          <w:rFonts w:ascii="Times New Roman" w:hAnsi="Times New Roman" w:eastAsia="仿宋"/>
          <w:b w:val="0"/>
          <w:sz w:val="24"/>
        </w:rPr>
        <w:t>与化学LYTAC相比，KineTAC可以通过哺乳动物细胞表达生产，更换靶蛋白结合臂也相对方便，不需要复杂的聚糖-蛋白化学偶联。通过替换不同细胞因子-受体组合，还可以尝试不同的组织靶向方式。</w:t>
      </w:r>
    </w:p>
    <w:p>
      <w:pPr>
        <w:spacing w:line="360" w:lineRule="auto" w:after="120"/>
        <w:ind w:firstLine="420"/>
        <w:jc w:val="both"/>
      </w:pPr>
      <w:r>
        <w:rPr>
          <w:rFonts w:ascii="Times New Roman" w:hAnsi="Times New Roman" w:eastAsia="仿宋"/>
          <w:b w:val="0"/>
          <w:sz w:val="24"/>
        </w:rPr>
        <w:t>这项研究说明，LYTAC并不只有一种实现路径，蛋白质工程和免疫学方法也能参与胞外蛋白降解药物的设计。</w:t>
      </w:r>
    </w:p>
    <w:p>
      <w:pPr>
        <w:spacing w:line="360" w:lineRule="auto" w:after="120"/>
        <w:ind w:firstLine="420"/>
        <w:jc w:val="both"/>
      </w:pPr>
      <w:r>
        <w:rPr>
          <w:rFonts w:ascii="Times New Roman" w:hAnsi="Times New Roman" w:eastAsia="仿宋"/>
          <w:b w:val="0"/>
          <w:sz w:val="24"/>
        </w:rPr>
        <w:t>Chen等（2023）把KineTAC与化学合成的LYTAC并列讨论，认为这类蛋白平台在制备和替换靶点结合臂方面可能更方便。</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图5  KineTAC平台的设计原理及对多种膜蛋白的降解效果。（引自：Pance K, Gramespacher J A, Byrnes J R, et al. Modular cytokine receptor-targeting chimeras for targeted degradation of cell surface and extracellular proteins. Nature Biotechnology, 2023, 41(2): 273-281.）</w:t>
      </w:r>
    </w:p>
    <w:p>
      <w:pPr>
        <w:spacing w:before="240" w:after="120" w:line="360" w:lineRule="auto"/>
        <w:ind w:firstLine="0"/>
        <w:jc w:val="left"/>
      </w:pPr>
      <w:r>
        <w:rPr>
          <w:rFonts w:ascii="Times New Roman" w:hAnsi="Times New Roman" w:eastAsia="仿宋"/>
          <w:b/>
          <w:sz w:val="24"/>
        </w:rPr>
        <w:t>四、LYTAC技术的疾病应用领域与转化研发进展</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w:t>
      </w:r>
    </w:p>
    <w:p>
      <w:pPr>
        <w:spacing w:line="360" w:lineRule="auto" w:after="120"/>
        <w:ind w:firstLine="420"/>
        <w:jc w:val="both"/>
      </w:pPr>
      <w:r>
        <w:rPr>
          <w:rFonts w:ascii="Times New Roman" w:hAnsi="Times New Roman" w:eastAsia="仿宋"/>
          <w:b w:val="0"/>
          <w:sz w:val="24"/>
        </w:rPr>
        <w:t>在肿瘤免疫方向，Banik等最早证明LYTAC可以降解PD-L1。2023年Li等在Journal of the American Chemical Society（145卷24506-24521页）进一步报道了基于DNA适体的共价LYTAC，可在体内降解PD-L1，并观察到比传统免疫检查点抗体更强的抗肿瘤免疫反应。作者在动物模型中比较了共价LYTAC和常规抗体阻断疗法，认为前者在激活抗肿瘤免疫方面表现更好。</w:t>
      </w:r>
    </w:p>
    <w:p>
      <w:pPr>
        <w:spacing w:line="360" w:lineRule="auto" w:after="120"/>
        <w:ind w:firstLine="420"/>
        <w:jc w:val="both"/>
      </w:pPr>
      <w:r>
        <w:rPr>
          <w:rFonts w:ascii="Times New Roman" w:hAnsi="Times New Roman" w:eastAsia="仿宋"/>
          <w:b w:val="0"/>
          <w:sz w:val="24"/>
        </w:rPr>
        <w:t>Pance等的KineTAC研究也证明，PD-L1、HER2等免疫相关靶点可以通过溶酶体途径被降解。</w:t>
      </w:r>
    </w:p>
    <w:p>
      <w:pPr>
        <w:spacing w:line="360" w:lineRule="auto" w:after="120"/>
        <w:ind w:firstLine="420"/>
        <w:jc w:val="both"/>
      </w:pPr>
      <w:r>
        <w:rPr>
          <w:rFonts w:ascii="Times New Roman" w:hAnsi="Times New Roman" w:eastAsia="仿宋"/>
          <w:b w:val="0"/>
          <w:sz w:val="24"/>
        </w:rPr>
        <w:t>在肝靶向方向，Wu等在Angewandte Chemie International Edition（2023, 62卷e202218106）开发了Apt-LYTAC，把适体与tri-GalNAc连接，实现了肝细胞中对PDGF和PTK7等靶点的降解。Li等（2025）在综述中也介绍了这类适体LYTAC，认为其合成步骤相对简单，适合快速筛选不同靶点结合序列。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这类工作说明，适体分子体积小、合成相对方便，也是构建LYTAC的一条可行路线。</w:t>
      </w:r>
    </w:p>
    <w:p>
      <w:pPr>
        <w:spacing w:line="360" w:lineRule="auto" w:after="120"/>
        <w:ind w:firstLine="420"/>
        <w:jc w:val="both"/>
      </w:pPr>
      <w:r>
        <w:rPr>
          <w:rFonts w:ascii="Times New Roman" w:hAnsi="Times New Roman" w:eastAsia="仿宋"/>
          <w:b w:val="0"/>
          <w:sz w:val="24"/>
        </w:rPr>
        <w:t>在神经退行性疾病方向，Liu等在Chem（2023, 9卷2016-2038页）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w:t>
      </w:r>
    </w:p>
    <w:p>
      <w:pPr>
        <w:spacing w:line="360" w:lineRule="auto" w:after="120"/>
        <w:ind w:firstLine="420"/>
        <w:jc w:val="both"/>
      </w:pPr>
      <w:r>
        <w:rPr>
          <w:rFonts w:ascii="Times New Roman" w:hAnsi="Times New Roman" w:eastAsia="仿宋"/>
          <w:b w:val="0"/>
          <w:sz w:val="24"/>
        </w:rPr>
        <w:t>作者还构建了可穿越血脑屏障的纳米载体，把点击反应前体送到脑部，再在病灶区原位生成活性降解分子。</w:t>
      </w:r>
    </w:p>
    <w:p>
      <w:pPr>
        <w:spacing w:line="360" w:lineRule="auto" w:after="120"/>
        <w:ind w:firstLine="420"/>
        <w:jc w:val="both"/>
      </w:pPr>
      <w:r>
        <w:rPr>
          <w:rFonts w:ascii="Times New Roman" w:hAnsi="Times New Roman" w:eastAsia="仿宋"/>
          <w:b w:val="0"/>
          <w:sz w:val="24"/>
        </w:rPr>
        <w:t>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在免疫相关疾病方向，Chen等（2023）和Li等（2025）都提到，分泌蛋白和膜蛋白是LYTAC较有潜力的靶点类型，但现有证据主要来自细胞和动物实验。</w:t>
      </w:r>
    </w:p>
    <w:p>
      <w:pPr>
        <w:spacing w:line="360" w:lineRule="auto" w:after="120"/>
        <w:ind w:firstLine="420"/>
        <w:jc w:val="both"/>
      </w:pPr>
      <w:r>
        <w:rPr>
          <w:rFonts w:ascii="Times New Roman" w:hAnsi="Times New Roman" w:eastAsia="仿宋"/>
          <w:b w:val="0"/>
          <w:sz w:val="24"/>
        </w:rPr>
        <w:t>综述文献也指出，分泌蛋白和自身抗体等免疫相关靶点被认为是LYTAC较有潜力的方向，但目前仍缺少正式发表的临床试验结果。</w:t>
      </w:r>
    </w:p>
    <w:p>
      <w:pPr>
        <w:spacing w:line="360" w:lineRule="auto" w:after="120"/>
        <w:ind w:firstLine="420"/>
        <w:jc w:val="both"/>
      </w:pPr>
      <w:r>
        <w:rPr>
          <w:rFonts w:ascii="Times New Roman" w:hAnsi="Times New Roman" w:eastAsia="仿宋"/>
          <w:b w:val="0"/>
          <w:sz w:val="24"/>
        </w:rPr>
        <w:t>Li等（2025）和Chen等（2023）都提到，LYTAC在肿瘤、免疫疾病和神经系统疾病中已有较多临床前研究，但真正进入临床阶段的项目仍然很少。</w:t>
      </w:r>
    </w:p>
    <w:p>
      <w:pPr>
        <w:spacing w:line="360" w:lineRule="auto" w:after="120"/>
        <w:ind w:firstLine="420"/>
        <w:jc w:val="both"/>
      </w:pPr>
      <w:r>
        <w:rPr>
          <w:rFonts w:ascii="Times New Roman" w:hAnsi="Times New Roman" w:eastAsia="仿宋"/>
          <w:b w:val="0"/>
          <w:sz w:val="24"/>
        </w:rPr>
        <w:t>这说明该方向虽然热闹，但离实际应用还有距离。</w:t>
      </w:r>
    </w:p>
    <w:p>
      <w:pPr>
        <w:spacing w:before="240" w:after="120" w:line="360" w:lineRule="auto"/>
        <w:ind w:firstLine="0"/>
        <w:jc w:val="left"/>
      </w:pPr>
      <w:r>
        <w:rPr>
          <w:rFonts w:ascii="Times New Roman" w:hAnsi="Times New Roman" w:eastAsia="仿宋"/>
          <w:b/>
          <w:sz w:val="24"/>
        </w:rPr>
        <w:t>五、LYTAC药物研发面临的主要挑战</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w:t>
      </w:r>
    </w:p>
    <w:p>
      <w:pPr>
        <w:spacing w:line="360" w:lineRule="auto" w:after="120"/>
        <w:ind w:firstLine="420"/>
        <w:jc w:val="both"/>
      </w:pPr>
      <w:r>
        <w:rPr>
          <w:rFonts w:ascii="Times New Roman" w:hAnsi="Times New Roman" w:eastAsia="仿宋"/>
          <w:b w:val="0"/>
          <w:sz w:val="24"/>
        </w:rPr>
        <w:t>Li等（2025）也总结了LYTAC目前面临的主要问题，包括分子制备复杂、组织选择性不足以及临床前数据仍不够充分。</w:t>
      </w:r>
    </w:p>
    <w:p>
      <w:pPr>
        <w:spacing w:line="360" w:lineRule="auto" w:after="120"/>
        <w:ind w:firstLine="420"/>
        <w:jc w:val="both"/>
      </w:pPr>
      <w:r>
        <w:rPr>
          <w:rFonts w:ascii="Times New Roman" w:hAnsi="Times New Roman" w:eastAsia="仿宋"/>
          <w:b w:val="0"/>
          <w:sz w:val="24"/>
        </w:rPr>
        <w:t>Zhou等（2024）进一步从可成药靶点空间角度讨论了LYTAC的发展前景，认为受体和结合剂的选择仍然是最核心的设计环节。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w:t>
      </w:r>
    </w:p>
    <w:p>
      <w:pPr>
        <w:spacing w:line="360" w:lineRule="auto" w:after="120"/>
        <w:ind w:firstLine="420"/>
        <w:jc w:val="both"/>
      </w:pPr>
      <w:r>
        <w:rPr>
          <w:rFonts w:ascii="Times New Roman" w:hAnsi="Times New Roman" w:eastAsia="仿宋"/>
          <w:b w:val="0"/>
          <w:sz w:val="24"/>
        </w:rPr>
        <w:t>Sun等（2024）在总结靶向蛋白降解技术时也认为，LYTAC仍属于较新的方向，其长期安全性和有效性还需要更多研究验证。</w:t>
      </w:r>
    </w:p>
    <w:p>
      <w:pPr>
        <w:spacing w:line="360" w:lineRule="auto" w:after="120"/>
        <w:ind w:firstLine="420"/>
        <w:jc w:val="both"/>
      </w:pPr>
      <w:r>
        <w:rPr>
          <w:rFonts w:ascii="Times New Roman" w:hAnsi="Times New Roman" w:eastAsia="仿宋"/>
          <w:b w:val="0"/>
          <w:sz w:val="24"/>
        </w:rPr>
        <w:t>因此，这一技术虽然值得继续跟踪，但距离真正成药还有较长距离。</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这些研究让我体会到，药物研发并不只是设计一个分子，还需要理解受体分布、内吞过程和溶酶体分选等生物学背景。如果缺少这些认识，很难解释为什么同一种分子在不同细胞里效果差很多。</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读完这些文献后，我对LYTAC的整体印象是：概念上很有吸引力，因为它把过去较难处理的胞外靶点纳入了降解范围，但真正做成药还需要解决很多工程和生物学问题。</w:t>
      </w:r>
    </w:p>
    <w:p>
      <w:pPr>
        <w:spacing w:line="360" w:lineRule="auto" w:after="120"/>
        <w:ind w:firstLine="420"/>
        <w:jc w:val="both"/>
      </w:pPr>
      <w:r>
        <w:rPr>
          <w:rFonts w:ascii="Times New Roman" w:hAnsi="Times New Roman" w:eastAsia="仿宋"/>
          <w:b w:val="0"/>
          <w:sz w:val="24"/>
        </w:rPr>
        <w:t>我个人认为，这个领域后续可能还会继续围绕降解效率、组织靶向和分子类型选择等问题展开。化学LYTAC和蛋白工程平台各有优缺点，未来也许会形成互补。</w:t>
      </w:r>
    </w:p>
    <w:p>
      <w:pPr>
        <w:spacing w:line="360" w:lineRule="auto" w:after="120"/>
        <w:ind w:firstLine="420"/>
        <w:jc w:val="both"/>
      </w:pPr>
      <w:r>
        <w:rPr>
          <w:rFonts w:ascii="Times New Roman" w:hAnsi="Times New Roman" w:eastAsia="仿宋"/>
          <w:b w:val="0"/>
          <w:sz w:val="24"/>
        </w:rPr>
        <w:t>从课程学习角度看，阅读这些论文也让我更清楚地看到，生物医学基础研究和新药开发之间联系很紧。如果只做化学偶联而不理解受体和内吞过程，很难真正判断一个LYTAC分子有没有继续开发的价值。</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如果后续继续跟踪这个领域，我会更关注正式发表的临床前和临床研究数据，以及不同受体类型在组织选择性方面的新进展。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这也是本次课程文献学习留给我的主要问题之一。</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w:t>
      </w:r>
    </w:p>
    <w:p>
      <w:pPr>
        <w:spacing w:line="360" w:lineRule="auto" w:after="60"/>
        <w:ind w:firstLine="0" w:left="420"/>
        <w:jc w:val="both"/>
      </w:pPr>
      <w:r>
        <w:rPr>
          <w:rFonts w:ascii="Times New Roman" w:hAnsi="Times New Roman" w:eastAsia="仿宋"/>
          <w:b w:val="0"/>
          <w:sz w:val="21"/>
        </w:rPr>
        <w:t>[2] Ahn G, Banik S M, Miller C L, Cornean L, Gray M A, Bertozzi C R. LYTACs that engage the asialoglycoprotein receptor for targeted protein degradation[J]. Nature Chemical Biology, 2021, 17(9): 937-946.</w:t>
      </w:r>
    </w:p>
    <w:p>
      <w:pPr>
        <w:spacing w:line="360" w:lineRule="auto" w:after="60"/>
        <w:ind w:firstLine="0" w:left="420"/>
        <w:jc w:val="both"/>
      </w:pPr>
      <w:r>
        <w:rPr>
          <w:rFonts w:ascii="Times New Roman" w:hAnsi="Times New Roman" w:eastAsia="仿宋"/>
          <w:b w:val="0"/>
          <w:sz w:val="21"/>
        </w:rPr>
        <w:t>[3] Ahn G, Banik S M, Riley N M, Cochran R V, Bertozzi C R. Elucidating the cellular determinants of targeted membrane protein degradation by lysosome-targeting chimeras[J]. Science, 2023, 382(6668): 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w:t>
      </w:r>
    </w:p>
    <w:p>
      <w:pPr>
        <w:spacing w:line="360" w:lineRule="auto" w:after="60"/>
        <w:ind w:firstLine="0" w:left="420"/>
        <w:jc w:val="both"/>
      </w:pPr>
      <w:r>
        <w:rPr>
          <w:rFonts w:ascii="Times New Roman" w:hAnsi="Times New Roman" w:eastAsia="仿宋"/>
          <w:b w:val="0"/>
          <w:sz w:val="21"/>
        </w:rPr>
        <w:t>[10] Sun D, Lu Y, Hu Y, et al. Targeted protein degradation: advances in drug discovery and clinical practice[J]. Signal Transduction and Targeted Therapy, 2024, 9: 308.</w:t>
      </w:r>
    </w:p>
    <w:p>
      <w:pPr>
        <w:spacing w:line="360" w:lineRule="auto" w:after="60"/>
        <w:ind w:firstLine="0" w:left="420"/>
        <w:jc w:val="both"/>
      </w:pPr>
      <w:r>
        <w:rPr>
          <w:rFonts w:ascii="Times New Roman" w:hAnsi="Times New Roman" w:eastAsia="仿宋"/>
          <w:b w:val="0"/>
          <w:sz w:val="21"/>
        </w:rPr>
        <w:t>[11] Caianiello D F, Miller C L, Ahn G, Riley N M, Bertozzi C R. Bifunctional small molecules that mediate the degradation of extracellular proteins[J]. Nature Chemical Biology, 2021, 17(8): 947-953.</w:t>
      </w:r>
    </w:p>
    <w:p>
      <w:pPr>
        <w:spacing w:line="360" w:lineRule="auto" w:after="60"/>
        <w:ind w:firstLine="0" w:left="420"/>
        <w:jc w:val="both"/>
      </w:pPr>
      <w:r>
        <w:rPr>
          <w:rFonts w:ascii="Times New Roman" w:hAnsi="Times New Roman" w:eastAsia="仿宋"/>
          <w:b w:val="0"/>
          <w:sz w:val="21"/>
        </w:rPr>
        <w:t>[12] Bekes M, Langley D R, Crews C M. PROTAC targeted protein degraders: the past is prologue[J]. Nature Reviews Drug Discovery, 2022, 21(3): 181-200.</w:t>
      </w:r>
    </w:p>
    <w:p>
      <w:pPr>
        <w:spacing w:line="360" w:lineRule="auto" w:after="60"/>
        <w:ind w:firstLine="0" w:left="420"/>
        <w:jc w:val="both"/>
      </w:pPr>
      <w:r>
        <w:rPr>
          <w:rFonts w:ascii="Times New Roman" w:hAnsi="Times New Roman" w:eastAsia="仿宋"/>
          <w:b w:val="0"/>
          <w:sz w:val="21"/>
        </w:rPr>
        <w:t>[13] Zhou Y, Zhang Y, Lazerwith S E, et al. Exploring the target space of lysosome-targeting chimeras[J]. Journal of Medicinal Chemistry, 2024, 67(5): 3654-3675.</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