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 - 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rPr>
          <w:lang w:val="en-US"/>
        </w:rPr>
      </w:pPr>
      <w:r>
        <w:rPr>
          <w:lang w:val="en-US"/>
        </w:rPr>
        <w:t xml:space="preserve"> It implements the architecture described in </w:t>
      </w:r>
      <w:hyperlink r:id="rId17"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svn</w:t>
            </w:r>
          </w:p>
        </w:tc>
      </w:tr>
      <w:tr>
        <w:tc>
          <w:tcPr>
            <w:tcW w:w="2976" w:type="dxa"/>
          </w:tcPr>
          <w:p>
            <w:pPr>
              <w:rPr>
                <w:lang w:val="en-US"/>
              </w:rPr>
            </w:pPr>
            <w:r>
              <w:rPr>
                <w:lang w:val="en-US"/>
              </w:rPr>
              <w:t>Word macros</w:t>
            </w:r>
          </w:p>
        </w:tc>
        <w:tc>
          <w:tcPr>
            <w:tcW w:w="4820" w:type="dxa"/>
          </w:tcPr>
          <w:p>
            <w:pPr>
              <w:rPr>
                <w:lang w:val="en-US"/>
              </w:rPr>
            </w:pPr>
            <w:r>
              <w:rPr>
                <w:lang w:val="en-US"/>
              </w:rPr>
              <w:t>this Add-In includes a macro which it can inject into your docx</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w:t>
      </w:r>
    </w:p>
    <w:p>
      <w:pPr>
        <w:pStyle w:val="ListParagraph"/>
        <w:numPr>
          <w:ilvl w:val="0"/>
          <w:numId w:val="5"/>
        </w:numPr>
        <w:rPr>
          <w:lang w:val="en-US"/>
        </w:rPr>
      </w:pPr>
      <w:r>
        <w:rPr>
          <w:lang w:val="en-US"/>
        </w:rPr>
        <w:t>the macro can process interactively</w:t>
      </w:r>
    </w:p>
    <w:p>
      <w:pPr>
        <w:pStyle w:val="ListParagraph"/>
        <w:numPr>
          <w:ilvl w:val="0"/>
          <w:numId w:val="5"/>
        </w:numPr>
        <w:rPr>
          <w:lang w:val="en-US"/>
        </w:rPr>
      </w:pPr>
      <w:r>
        <w:rPr>
          <w:lang w:val="en-US"/>
        </w:rPr>
        <w:t xml:space="preserve">the Java pre-processor  can process in non-interactive mode.   </w:t>
      </w:r>
    </w:p>
    <w:p>
      <w:pPr>
        <w:ind w:left="30"/>
        <w:rPr>
          <w:lang w:val="en-US"/>
        </w:rPr>
      </w:pPr>
      <w:r>
        <w:rPr>
          <w:lang w:val="en-US"/>
        </w:rPr>
        <w:t>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 - but not content controls which are already bound, yet).</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For simplicity, answer "no".</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lastRenderedPageBreak/>
        <w:t>To create a content control, use the Word Developer ribbon.  If it isn't visible, you can enable it in Word Options.  Note: if you want to do a traditional bind, you should use a plain text control, not a rich text control.</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933575" cy="3295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933575" cy="3295650"/>
                    </a:xfrm>
                    <a:prstGeom prst="rect">
                      <a:avLst/>
                    </a:prstGeom>
                    <a:noFill/>
                    <a:ln w="9525">
                      <a:noFill/>
                      <a:miter lim="800000"/>
                      <a:headEnd/>
                      <a:tailEnd/>
                    </a:ln>
                  </pic:spPr>
                </pic:pic>
              </a:graphicData>
            </a:graphic>
          </wp:inline>
        </w:drawing>
      </w:r>
    </w:p>
    <w:p>
      <w:pPr>
        <w:rPr>
          <w:lang w:val="en-US"/>
        </w:rPr>
      </w:pPr>
      <w:r>
        <w:rPr>
          <w:lang w:val="en-US"/>
        </w:rPr>
        <w:t xml:space="preserve">The three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rPr>
          <w:lang w:val="en-US"/>
        </w:rPr>
      </w:pPr>
      <w:r>
        <w:rPr>
          <w:lang w:val="en-US"/>
        </w:rPr>
        <w:t>We'll look quickly at each</w:t>
      </w:r>
    </w:p>
    <w:p>
      <w:pPr>
        <w:pStyle w:val="Heading1"/>
        <w:rPr>
          <w:lang w:val="en-US"/>
        </w:rPr>
      </w:pPr>
      <w:r>
        <w:rPr>
          <w:lang w:val="en-US"/>
        </w:rPr>
        <w:t>Traditional Bind</w:t>
      </w:r>
    </w:p>
    <w:p>
      <w:pPr>
        <w:rPr>
          <w:lang w:val="en-US"/>
        </w:rPr>
      </w:pPr>
      <w:r>
        <w:rPr>
          <w:lang w:val="en-US"/>
        </w:rPr>
        <w:t>Note: if you want to do a traditional bind, you should use a plain text control, not a rich text control.  This is a restriction imposed by the OpenXML spec, and Word.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lastRenderedPageBreak/>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rPr>
          <w:lang w:val="en-US"/>
        </w:rPr>
      </w:pPr>
      <w:r>
        <w:rPr>
          <w:lang w:val="en-US"/>
        </w:rPr>
        <w:t xml:space="preserve">Inside this repeating content contol, you then put the actual content you want to repeat.  Typically this will include more content controls - in this example, one bound to /orgunit/employees/employee/name and/or salary.  </w:t>
      </w:r>
    </w:p>
    <w:p>
      <w:pPr>
        <w:rPr>
          <w:lang w:val="en-US"/>
        </w:rPr>
      </w:pPr>
      <w:r>
        <w:rPr>
          <w:lang w:val="en-US"/>
        </w:rPr>
        <w:t>It is the job of the pre-processor to clone the repeat control, and then change the xpaths within it to employee[1]/name in the first, employee[2]/name in the second etc.</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r>
        <w:rPr>
          <w:lang w:val="en-US"/>
        </w:rPr>
        <w:t>Interactive Processing</w:t>
      </w:r>
    </w:p>
    <w:p>
      <w:pPr>
        <w:rPr>
          <w:lang w:val="en-US"/>
        </w:rPr>
      </w:pPr>
    </w:p>
    <w:p>
      <w:pPr>
        <w:rPr>
          <w:lang w:val="en-US"/>
        </w:rPr>
      </w:pPr>
      <w:r>
        <w:rPr>
          <w:lang w:val="en-US"/>
        </w:rPr>
        <w:t>When you first clicked "add CustomXML to this docx"</w:t>
      </w:r>
    </w:p>
    <w:p>
      <w:pPr>
        <w:rPr>
          <w:lang w:val="en-US"/>
        </w:rPr>
      </w:pPr>
      <w:r>
        <w:rPr>
          <w:noProof/>
          <w:lang w:eastAsia="en-AU"/>
        </w:rPr>
        <w:lastRenderedPageBreak/>
        <w:drawing>
          <wp:inline distT="0" distB="0" distL="0" distR="0">
            <wp:extent cx="1123950" cy="100881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123950" cy="1008814"/>
                    </a:xfrm>
                    <a:prstGeom prst="rect">
                      <a:avLst/>
                    </a:prstGeom>
                    <a:noFill/>
                    <a:ln w="9525">
                      <a:noFill/>
                      <a:miter lim="800000"/>
                      <a:headEnd/>
                      <a:tailEnd/>
                    </a:ln>
                  </pic:spPr>
                </pic:pic>
              </a:graphicData>
            </a:graphic>
          </wp:inline>
        </w:drawing>
      </w:r>
    </w:p>
    <w:p>
      <w:pPr>
        <w:rPr>
          <w:lang w:val="en-US"/>
        </w:rPr>
      </w:pPr>
      <w:r>
        <w:rPr>
          <w:lang w:val="en-US"/>
        </w:rPr>
        <w:t>You saw:</w:t>
      </w:r>
    </w:p>
    <w:p>
      <w:pPr>
        <w:rPr>
          <w:lang w:val="en-US"/>
        </w:rPr>
      </w:pPr>
      <w:r>
        <w:rPr>
          <w:noProof/>
          <w:lang w:eastAsia="en-AU"/>
        </w:rPr>
        <w:drawing>
          <wp:inline distT="0" distB="0" distL="0" distR="0">
            <wp:extent cx="2419350" cy="248021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419350" cy="2480214"/>
                    </a:xfrm>
                    <a:prstGeom prst="rect">
                      <a:avLst/>
                    </a:prstGeom>
                    <a:noFill/>
                    <a:ln w="9525">
                      <a:noFill/>
                      <a:miter lim="800000"/>
                      <a:headEnd/>
                      <a:tailEnd/>
                    </a:ln>
                  </pic:spPr>
                </pic:pic>
              </a:graphicData>
            </a:graphic>
          </wp:inline>
        </w:drawing>
      </w:r>
    </w:p>
    <w:p>
      <w:pPr>
        <w:rPr>
          <w:lang w:val="en-US"/>
        </w:rPr>
      </w:pPr>
      <w:r>
        <w:rPr>
          <w:lang w:val="en-US"/>
        </w:rPr>
        <w:t>To enable interactive processing, answer "yes" to this question.</w:t>
      </w:r>
    </w:p>
    <w:p>
      <w:pPr>
        <w:rPr>
          <w:lang w:val="en-US"/>
        </w:rPr>
      </w:pPr>
      <w:r>
        <w:rPr>
          <w:lang w:val="en-US"/>
        </w:rPr>
        <w:t>If you answer "yes" to this question, a Questions part will be added to the docx, and then each time you bind a content control (either a standard bind, or as a repeat or a condition) you will be prompted  to enter a corresponding  question:</w:t>
      </w:r>
    </w:p>
    <w:p>
      <w:pPr>
        <w:rPr>
          <w:lang w:val="en-US"/>
        </w:rPr>
      </w:pPr>
      <w:r>
        <w:rPr>
          <w:noProof/>
          <w:lang w:eastAsia="en-AU"/>
        </w:rPr>
        <w:drawing>
          <wp:inline distT="0" distB="0" distL="0" distR="0">
            <wp:extent cx="3638550" cy="31718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638550" cy="3171825"/>
                    </a:xfrm>
                    <a:prstGeom prst="rect">
                      <a:avLst/>
                    </a:prstGeom>
                    <a:noFill/>
                    <a:ln w="9525">
                      <a:noFill/>
                      <a:miter lim="800000"/>
                      <a:headEnd/>
                      <a:tailEnd/>
                    </a:ln>
                  </pic:spPr>
                </pic:pic>
              </a:graphicData>
            </a:graphic>
          </wp:inline>
        </w:drawing>
      </w:r>
    </w:p>
    <w:p>
      <w:pPr>
        <w:rPr>
          <w:lang w:val="en-US"/>
        </w:rPr>
      </w:pPr>
      <w:r>
        <w:rPr>
          <w:lang w:val="en-US"/>
        </w:rPr>
        <w:t>Answers can be multiple choice.  For a condition, you will want multiple choice, with values true and false:</w:t>
      </w:r>
    </w:p>
    <w:p>
      <w:pPr>
        <w:rPr>
          <w:lang w:val="en-US"/>
        </w:rPr>
      </w:pPr>
      <w:r>
        <w:rPr>
          <w:noProof/>
          <w:lang w:eastAsia="en-AU"/>
        </w:rPr>
        <w:lastRenderedPageBreak/>
        <w:drawing>
          <wp:inline distT="0" distB="0" distL="0" distR="0">
            <wp:extent cx="3762375" cy="28384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pPr>
        <w:rPr>
          <w:lang w:val="en-US"/>
        </w:rPr>
      </w:pPr>
      <w:r>
        <w:rPr>
          <w:lang w:val="en-US"/>
        </w:rPr>
        <w:t>(If the user chooses "true", the conditional content control will be retained)</w:t>
      </w:r>
    </w:p>
    <w:p>
      <w:pPr>
        <w:rPr>
          <w:lang w:val="en-US"/>
        </w:rPr>
      </w:pPr>
    </w:p>
    <w:p>
      <w:pPr>
        <w:pStyle w:val="Heading1"/>
        <w:rPr>
          <w:lang w:val="en-US"/>
        </w:rPr>
      </w:pPr>
      <w:r>
        <w:rPr>
          <w:lang w:val="en-US"/>
        </w:rPr>
        <w:t>Macro Injection</w:t>
      </w:r>
    </w:p>
    <w:p>
      <w:pPr>
        <w:rPr>
          <w:lang w:val="en-US"/>
        </w:rPr>
      </w:pPr>
      <w:r>
        <w:rPr>
          <w:lang w:val="en-US"/>
        </w:rPr>
        <w:t>A docx with questions embedded in it can be processed interactively, in various ways, for example:</w:t>
      </w:r>
    </w:p>
    <w:p>
      <w:pPr>
        <w:pStyle w:val="ListParagraph"/>
        <w:numPr>
          <w:ilvl w:val="0"/>
          <w:numId w:val="6"/>
        </w:numPr>
        <w:rPr>
          <w:lang w:val="en-US"/>
        </w:rPr>
      </w:pPr>
      <w:r>
        <w:rPr>
          <w:lang w:val="en-US"/>
        </w:rPr>
        <w:t>via a macro embedded in the docx</w:t>
      </w:r>
    </w:p>
    <w:p>
      <w:pPr>
        <w:pStyle w:val="ListParagraph"/>
        <w:numPr>
          <w:ilvl w:val="0"/>
          <w:numId w:val="6"/>
        </w:numPr>
        <w:rPr>
          <w:lang w:val="en-US"/>
        </w:rPr>
      </w:pPr>
      <w:r>
        <w:rPr>
          <w:lang w:val="en-US"/>
        </w:rPr>
        <w:t xml:space="preserve">via a web-based application </w:t>
      </w:r>
    </w:p>
    <w:p>
      <w:pPr>
        <w:rPr>
          <w:lang w:val="en-US"/>
        </w:rPr>
      </w:pPr>
      <w:r>
        <w:rPr>
          <w:lang w:val="en-US"/>
        </w:rPr>
        <w:t>The Add-In can inject a suitable macro into the docx.  This macro is set to execute when the document is opened.</w:t>
      </w:r>
    </w:p>
    <w:p>
      <w:pPr>
        <w:rPr>
          <w:lang w:val="en-US"/>
        </w:rPr>
      </w:pPr>
      <w:r>
        <w:rPr>
          <w:lang w:val="en-US"/>
        </w:rPr>
        <w:t>To inject the macro, click the "Inject Macro" button on the toolbar:</w:t>
      </w:r>
    </w:p>
    <w:p>
      <w:pPr>
        <w:rPr>
          <w:lang w:val="en-US"/>
        </w:rPr>
      </w:pPr>
      <w:r>
        <w:rPr>
          <w:noProof/>
          <w:lang w:eastAsia="en-AU"/>
        </w:rPr>
        <w:drawing>
          <wp:inline distT="0" distB="0" distL="0" distR="0">
            <wp:extent cx="2009775" cy="70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2009775" cy="704850"/>
                    </a:xfrm>
                    <a:prstGeom prst="rect">
                      <a:avLst/>
                    </a:prstGeom>
                    <a:noFill/>
                    <a:ln w="9525">
                      <a:noFill/>
                      <a:miter lim="800000"/>
                      <a:headEnd/>
                      <a:tailEnd/>
                    </a:ln>
                  </pic:spPr>
                </pic:pic>
              </a:graphicData>
            </a:graphic>
          </wp:inline>
        </w:drawing>
      </w:r>
    </w:p>
    <w:p>
      <w:pPr>
        <w:rPr>
          <w:lang w:val="en-US"/>
        </w:rPr>
      </w:pPr>
      <w:r>
        <w:rPr>
          <w:lang w:val="en-US"/>
        </w:rPr>
        <w:t>This will prompt you to save your document as a docm (a macro-enabled docx).  Note that this operation cannot be performed if the document is already a docm.</w:t>
      </w:r>
    </w:p>
    <w:p>
      <w:pPr>
        <w:rPr>
          <w:lang w:val="en-US"/>
        </w:rPr>
      </w:pPr>
      <w:r>
        <w:rPr>
          <w:lang w:val="en-US"/>
        </w:rPr>
        <w:t>Once complete, you can distribute the docm to end users. The macro will run on opening (provided the user allows), enabling the end user to create a customised document.  For further information, please see the macro_walkthrough document.</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lastRenderedPageBreak/>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C0B"/>
    <w:multiLevelType w:val="hybridMultilevel"/>
    <w:tmpl w:val="F6F6D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9B4085"/>
    <w:multiLevelType w:val="hybridMultilevel"/>
    <w:tmpl w:val="F782B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9510F82"/>
    <w:multiLevelType w:val="hybridMultilevel"/>
    <w:tmpl w:val="1C3ED11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hyperlink" Target="http://dev.plutext.org/svn/docx4j/trunk/docx4j/sample-docs/databinding/conventions.html"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questions/>
</file>

<file path=customXml/item10.xml><?xml version="1.0" encoding="utf-8"?>
<xpaths/>
</file>

<file path=customXml/item11.xml><?xml version="1.0" encoding="utf-8"?>
<xpaths/>
</file>

<file path=customXml/item12.xml><?xml version="1.0" encoding="utf-8"?>
<mypart/>
</file>

<file path=customXml/item2.xml><?xml version="1.0" encoding="utf-8"?>
<conditions/>
</file>

<file path=customXml/item3.xml><?xml version="1.0" encoding="utf-8"?>
<mypart/>
</file>

<file path=customXml/item4.xml><?xml version="1.0" encoding="utf-8"?>
<questions/>
</file>

<file path=customXml/item5.xml><?xml version="1.0" encoding="utf-8"?>
<mypart/>
</file>

<file path=customXml/item6.xml><?xml version="1.0" encoding="utf-8"?>
<questions/>
</file>

<file path=customXml/item7.xml><?xml version="1.0" encoding="utf-8"?>
<xpaths/>
</file>

<file path=customXml/item8.xml><?xml version="1.0" encoding="utf-8"?>
<conditions/>
</file>

<file path=customXml/item9.xml><?xml version="1.0" encoding="utf-8"?>
<conditions/>
</file>

<file path=customXml/itemProps1.xml><?xml version="1.0" encoding="utf-8"?>
<ds:datastoreItem xmlns:ds="http://schemas.openxmlformats.org/officeDocument/2006/customXml" ds:itemID="{1173A749-B241-4E7F-A0FC-24E3C89FB9F1}">
  <ds:schemaRefs/>
</ds:datastoreItem>
</file>

<file path=customXml/itemProps10.xml><?xml version="1.0" encoding="utf-8"?>
<ds:datastoreItem xmlns:ds="http://schemas.openxmlformats.org/officeDocument/2006/customXml" ds:itemID="{E3F0C8F8-C56D-4E97-B05E-F107DC623BED}">
  <ds:schemaRefs/>
</ds:datastoreItem>
</file>

<file path=customXml/itemProps11.xml><?xml version="1.0" encoding="utf-8"?>
<ds:datastoreItem xmlns:ds="http://schemas.openxmlformats.org/officeDocument/2006/customXml" ds:itemID="{8CE3A74F-3BAC-4665-9718-C030B8D03EEC}">
  <ds:schemaRefs/>
</ds:datastoreItem>
</file>

<file path=customXml/itemProps12.xml><?xml version="1.0" encoding="utf-8"?>
<ds:datastoreItem xmlns:ds="http://schemas.openxmlformats.org/officeDocument/2006/customXml" ds:itemID="{ABDB46B3-8111-4D72-8394-C4DFE5D88951}">
  <ds:schemaRefs/>
</ds:datastoreItem>
</file>

<file path=customXml/itemProps2.xml><?xml version="1.0" encoding="utf-8"?>
<ds:datastoreItem xmlns:ds="http://schemas.openxmlformats.org/officeDocument/2006/customXml" ds:itemID="{A9F867F0-1963-4827-A04D-3359BD4C0F0B}">
  <ds:schemaRefs/>
</ds:datastoreItem>
</file>

<file path=customXml/itemProps3.xml><?xml version="1.0" encoding="utf-8"?>
<ds:datastoreItem xmlns:ds="http://schemas.openxmlformats.org/officeDocument/2006/customXml" ds:itemID="{5619818B-AC3A-4FBF-8181-BEAF69DD9638}">
  <ds:schemaRefs/>
</ds:datastoreItem>
</file>

<file path=customXml/itemProps4.xml><?xml version="1.0" encoding="utf-8"?>
<ds:datastoreItem xmlns:ds="http://schemas.openxmlformats.org/officeDocument/2006/customXml" ds:itemID="{0CF01ABC-6A28-4BA4-8D53-BCA8A8BB281B}">
  <ds:schemaRefs/>
</ds:datastoreItem>
</file>

<file path=customXml/itemProps5.xml><?xml version="1.0" encoding="utf-8"?>
<ds:datastoreItem xmlns:ds="http://schemas.openxmlformats.org/officeDocument/2006/customXml" ds:itemID="{508BCC3E-56DD-49BE-96DD-2D594C5CE366}">
  <ds:schemaRefs/>
</ds:datastoreItem>
</file>

<file path=customXml/itemProps6.xml><?xml version="1.0" encoding="utf-8"?>
<ds:datastoreItem xmlns:ds="http://schemas.openxmlformats.org/officeDocument/2006/customXml" ds:itemID="{7A655B8E-64B9-485A-B73F-2AA0C3608D88}">
  <ds:schemaRefs/>
</ds:datastoreItem>
</file>

<file path=customXml/itemProps7.xml><?xml version="1.0" encoding="utf-8"?>
<ds:datastoreItem xmlns:ds="http://schemas.openxmlformats.org/officeDocument/2006/customXml" ds:itemID="{2B7958E0-198E-4C8D-AE0E-6F2680FD54E6}">
  <ds:schemaRefs/>
</ds:datastoreItem>
</file>

<file path=customXml/itemProps8.xml><?xml version="1.0" encoding="utf-8"?>
<ds:datastoreItem xmlns:ds="http://schemas.openxmlformats.org/officeDocument/2006/customXml" ds:itemID="{6F538E0F-7F01-4EA3-BB13-F0A8D76B1805}">
  <ds:schemaRefs/>
</ds:datastoreItem>
</file>

<file path=customXml/itemProps9.xml><?xml version="1.0" encoding="utf-8"?>
<ds:datastoreItem xmlns:ds="http://schemas.openxmlformats.org/officeDocument/2006/customXml" ds:itemID="{A00E7546-6D85-44FC-A9CB-3D31E3941380}">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10</cp:revision>
  <dcterms:created xsi:type="dcterms:W3CDTF">2010-10-14T10:38:00Z</dcterms:created>
  <dcterms:modified xsi:type="dcterms:W3CDTF">2010-11-02T12:42:00Z</dcterms:modified>
</cp:coreProperties>
</file>