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07D334">
      <w:pPr>
        <w:spacing w:line="360" w:lineRule="auto"/>
        <w:jc w:val="center"/>
        <w:rPr>
          <w:rFonts w:ascii="黑体" w:hAnsi="黑体" w:eastAsia="黑体"/>
          <w:color w:val="FF0000"/>
          <w:sz w:val="24"/>
          <w:szCs w:val="24"/>
        </w:rPr>
      </w:pPr>
      <w:r>
        <w:drawing>
          <wp:inline distT="0" distB="0" distL="0" distR="0">
            <wp:extent cx="2455545" cy="2420620"/>
            <wp:effectExtent l="0" t="0" r="8255" b="5080"/>
            <wp:docPr id="1026" name="图片 4" descr="无标题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图片 4" descr="无标题123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5545" cy="24206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6B196">
      <w:pPr>
        <w:spacing w:line="360" w:lineRule="auto"/>
        <w:jc w:val="center"/>
        <w:rPr>
          <w:rFonts w:ascii="黑体" w:hAnsi="黑体" w:eastAsia="黑体"/>
          <w:color w:val="FF0000"/>
          <w:sz w:val="24"/>
          <w:szCs w:val="24"/>
        </w:rPr>
      </w:pPr>
    </w:p>
    <w:p w14:paraId="0EFFE086">
      <w:pPr>
        <w:spacing w:line="360" w:lineRule="auto"/>
        <w:ind w:left="2"/>
        <w:jc w:val="center"/>
        <w:rPr>
          <w:rFonts w:ascii="宋体" w:hAnsi="宋体" w:cs="Times New Roman"/>
          <w:sz w:val="30"/>
          <w:szCs w:val="30"/>
        </w:rPr>
      </w:pPr>
      <w:r>
        <w:rPr>
          <w:rFonts w:hint="eastAsia" w:cs="宋体"/>
        </w:rPr>
        <w:drawing>
          <wp:inline distT="0" distB="0" distL="0" distR="0">
            <wp:extent cx="2172335" cy="781685"/>
            <wp:effectExtent l="0" t="0" r="1206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72335" cy="78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21DB5">
      <w:pPr>
        <w:spacing w:line="360" w:lineRule="auto"/>
        <w:ind w:left="2"/>
        <w:jc w:val="center"/>
        <w:rPr>
          <w:rFonts w:ascii="宋体" w:hAnsi="宋体" w:cs="Times New Roman"/>
          <w:sz w:val="30"/>
          <w:szCs w:val="30"/>
        </w:rPr>
      </w:pPr>
      <w:r>
        <w:rPr>
          <w:rFonts w:hint="eastAsia" w:ascii="宋体" w:hAnsi="宋体" w:cs="Times New Roman"/>
          <w:sz w:val="30"/>
          <w:szCs w:val="30"/>
        </w:rPr>
        <w:t xml:space="preserve"> </w:t>
      </w:r>
    </w:p>
    <w:p w14:paraId="0EB1D1E6">
      <w:pPr>
        <w:spacing w:before="100" w:beforeAutospacing="1" w:after="100" w:afterAutospacing="1" w:line="360" w:lineRule="auto"/>
        <w:ind w:firstLine="200"/>
        <w:contextualSpacing/>
        <w:jc w:val="center"/>
        <w:rPr>
          <w:rFonts w:hint="default" w:ascii="宋体" w:hAnsi="宋体" w:eastAsia="等线" w:cs="Times New Roman"/>
          <w:sz w:val="28"/>
          <w:szCs w:val="28"/>
          <w:lang w:val="en-US" w:eastAsia="zh-CN"/>
        </w:rPr>
      </w:pPr>
      <w:r>
        <w:rPr>
          <w:rFonts w:hint="eastAsia" w:ascii="宋体" w:hAnsi="宋体" w:eastAsia="等线" w:cs="Times New Roman"/>
          <w:sz w:val="40"/>
          <w:szCs w:val="40"/>
          <w:lang w:val="en-US" w:eastAsia="zh-CN"/>
        </w:rPr>
        <w:t>软件项目管理</w:t>
      </w:r>
      <w:r>
        <w:rPr>
          <w:rFonts w:hint="eastAsia" w:ascii="宋体" w:hAnsi="宋体" w:eastAsia="等线" w:cs="Times New Roman"/>
          <w:sz w:val="40"/>
          <w:szCs w:val="40"/>
        </w:rPr>
        <w:t xml:space="preserve">  </w:t>
      </w:r>
      <w:r>
        <w:rPr>
          <w:rFonts w:hint="eastAsia" w:ascii="等线" w:hAnsi="等线" w:eastAsia="等线" w:cs="Times New Roman"/>
          <w:sz w:val="40"/>
          <w:szCs w:val="40"/>
          <w:lang w:val="en-US" w:eastAsia="zh-CN"/>
        </w:rPr>
        <w:t>课程实践报告</w:t>
      </w:r>
    </w:p>
    <w:p w14:paraId="6906E500">
      <w:pPr>
        <w:spacing w:before="100" w:beforeAutospacing="1" w:after="100" w:afterAutospacing="1" w:line="360" w:lineRule="auto"/>
        <w:contextualSpacing/>
        <w:jc w:val="center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等线" w:cs="Times New Roman"/>
          <w:sz w:val="30"/>
          <w:szCs w:val="30"/>
        </w:rPr>
        <w:t xml:space="preserve"> </w:t>
      </w:r>
      <w:r>
        <w:rPr>
          <w:rFonts w:hint="eastAsia" w:ascii="宋体" w:hAnsi="宋体" w:eastAsia="宋体" w:cs="宋体"/>
          <w:sz w:val="30"/>
          <w:szCs w:val="30"/>
          <w:lang w:eastAsia="zh-CN"/>
        </w:rPr>
        <w:t>——</w:t>
      </w:r>
      <w:r>
        <w:rPr>
          <w:rFonts w:hint="eastAsia" w:ascii="宋体" w:hAnsi="宋体" w:cs="宋体"/>
          <w:sz w:val="30"/>
          <w:szCs w:val="30"/>
          <w:lang w:val="en-US" w:eastAsia="zh-CN"/>
        </w:rPr>
        <w:t>上海热线统一认证系统项目管理方案</w:t>
      </w:r>
    </w:p>
    <w:p w14:paraId="62C6774B">
      <w:pPr>
        <w:spacing w:before="100" w:beforeAutospacing="1" w:after="100" w:afterAutospacing="1" w:line="360" w:lineRule="auto"/>
        <w:contextualSpacing/>
        <w:jc w:val="center"/>
        <w:rPr>
          <w:rFonts w:hint="eastAsia" w:ascii="宋体" w:hAnsi="宋体" w:eastAsia="宋体" w:cs="宋体"/>
          <w:sz w:val="22"/>
          <w:szCs w:val="22"/>
          <w:lang w:val="en-US" w:eastAsia="zh-CN"/>
        </w:rPr>
      </w:pPr>
    </w:p>
    <w:tbl>
      <w:tblPr>
        <w:tblStyle w:val="3"/>
        <w:tblW w:w="738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5857"/>
      </w:tblGrid>
      <w:tr w14:paraId="00A1B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5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8156F5">
            <w:pPr>
              <w:spacing w:line="360" w:lineRule="auto"/>
              <w:rPr>
                <w:rFonts w:ascii="黑体" w:hAnsi="黑体" w:eastAsia="黑体" w:cs="宋体"/>
                <w:sz w:val="28"/>
                <w:szCs w:val="28"/>
              </w:rPr>
            </w:pPr>
            <w:r>
              <w:rPr>
                <w:rFonts w:hint="eastAsia" w:ascii="黑体" w:hAnsi="黑体" w:eastAsia="黑体" w:cs="宋体"/>
                <w:sz w:val="28"/>
                <w:szCs w:val="28"/>
              </w:rPr>
              <w:t>院 系：</w:t>
            </w:r>
          </w:p>
        </w:tc>
        <w:tc>
          <w:tcPr>
            <w:tcW w:w="5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D2C94E">
            <w:pPr>
              <w:spacing w:line="360" w:lineRule="auto"/>
              <w:rPr>
                <w:rFonts w:hint="eastAsia" w:ascii="黑体" w:hAnsi="黑体" w:eastAsia="黑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宋体"/>
                <w:sz w:val="28"/>
                <w:szCs w:val="28"/>
                <w:lang w:val="en-US" w:eastAsia="zh-CN"/>
              </w:rPr>
              <w:t>信息学院</w:t>
            </w:r>
          </w:p>
        </w:tc>
      </w:tr>
      <w:tr w14:paraId="103F3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5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AB5C28">
            <w:pPr>
              <w:spacing w:line="360" w:lineRule="auto"/>
              <w:rPr>
                <w:rFonts w:ascii="黑体" w:hAnsi="黑体" w:eastAsia="黑体" w:cs="宋体"/>
                <w:sz w:val="28"/>
                <w:szCs w:val="28"/>
              </w:rPr>
            </w:pPr>
            <w:r>
              <w:rPr>
                <w:rFonts w:hint="eastAsia" w:ascii="黑体" w:hAnsi="黑体" w:eastAsia="黑体" w:cs="宋体"/>
                <w:sz w:val="28"/>
                <w:szCs w:val="28"/>
              </w:rPr>
              <w:t>专 业：</w:t>
            </w:r>
          </w:p>
        </w:tc>
        <w:tc>
          <w:tcPr>
            <w:tcW w:w="5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C5FFDA">
            <w:pPr>
              <w:spacing w:line="360" w:lineRule="auto"/>
              <w:rPr>
                <w:rFonts w:hint="eastAsia" w:ascii="黑体" w:hAnsi="黑体" w:eastAsia="黑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宋体"/>
                <w:sz w:val="28"/>
                <w:szCs w:val="28"/>
                <w:lang w:val="en-US" w:eastAsia="zh-CN"/>
              </w:rPr>
              <w:t>软件工程专业</w:t>
            </w:r>
          </w:p>
        </w:tc>
      </w:tr>
      <w:tr w14:paraId="5A513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5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4807F2">
            <w:pPr>
              <w:spacing w:line="360" w:lineRule="auto"/>
              <w:rPr>
                <w:rFonts w:ascii="黑体" w:hAnsi="黑体" w:eastAsia="黑体" w:cs="宋体"/>
                <w:sz w:val="28"/>
                <w:szCs w:val="28"/>
              </w:rPr>
            </w:pPr>
            <w:r>
              <w:rPr>
                <w:rFonts w:hint="eastAsia" w:ascii="黑体" w:hAnsi="黑体" w:eastAsia="黑体" w:cs="宋体"/>
                <w:sz w:val="28"/>
                <w:szCs w:val="28"/>
              </w:rPr>
              <w:t>年 级：</w:t>
            </w:r>
          </w:p>
        </w:tc>
        <w:tc>
          <w:tcPr>
            <w:tcW w:w="5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54C875">
            <w:pPr>
              <w:spacing w:line="360" w:lineRule="auto"/>
              <w:rPr>
                <w:rFonts w:hint="default" w:ascii="黑体" w:hAnsi="黑体" w:eastAsia="黑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宋体"/>
                <w:sz w:val="28"/>
                <w:szCs w:val="28"/>
                <w:lang w:val="en-US" w:eastAsia="zh-CN"/>
              </w:rPr>
              <w:t>2022级</w:t>
            </w:r>
          </w:p>
        </w:tc>
      </w:tr>
      <w:tr w14:paraId="39A29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9" w:hRule="atLeast"/>
          <w:jc w:val="center"/>
        </w:trPr>
        <w:tc>
          <w:tcPr>
            <w:tcW w:w="15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B3C06A">
            <w:pPr>
              <w:spacing w:line="360" w:lineRule="auto"/>
              <w:rPr>
                <w:rFonts w:ascii="黑体" w:hAnsi="黑体" w:eastAsia="黑体" w:cs="宋体"/>
                <w:sz w:val="28"/>
                <w:szCs w:val="28"/>
              </w:rPr>
            </w:pPr>
            <w:r>
              <w:rPr>
                <w:rFonts w:hint="eastAsia" w:ascii="黑体" w:hAnsi="黑体" w:eastAsia="黑体" w:cs="宋体"/>
                <w:sz w:val="28"/>
                <w:szCs w:val="28"/>
              </w:rPr>
              <w:t>姓 名：</w:t>
            </w:r>
          </w:p>
        </w:tc>
        <w:tc>
          <w:tcPr>
            <w:tcW w:w="5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9626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黑体" w:hAnsi="黑体" w:eastAsia="黑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宋体"/>
                <w:sz w:val="28"/>
                <w:szCs w:val="28"/>
                <w:lang w:val="en-US" w:eastAsia="zh-CN"/>
              </w:rPr>
              <w:t>邢舒扬 37220222203807（组长）</w:t>
            </w:r>
          </w:p>
          <w:p w14:paraId="38E5A2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default" w:ascii="黑体" w:hAnsi="黑体" w:eastAsia="黑体" w:cs="宋体"/>
                <w:sz w:val="28"/>
                <w:szCs w:val="28"/>
                <w:lang w:val="en-US" w:eastAsia="zh-CN"/>
              </w:rPr>
            </w:pPr>
            <w:r>
              <w:rPr>
                <w:rFonts w:hint="default" w:ascii="黑体" w:hAnsi="黑体" w:eastAsia="黑体" w:cs="宋体"/>
                <w:sz w:val="28"/>
                <w:szCs w:val="28"/>
                <w:lang w:val="en-US" w:eastAsia="zh-CN"/>
              </w:rPr>
              <w:t>曾炜博 37220222203855</w:t>
            </w:r>
          </w:p>
          <w:p w14:paraId="448537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default" w:ascii="黑体" w:hAnsi="黑体" w:eastAsia="黑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宋体"/>
                <w:sz w:val="28"/>
                <w:szCs w:val="28"/>
                <w:lang w:val="en-US" w:eastAsia="zh-CN"/>
              </w:rPr>
              <w:t>王子尧 37220222203786</w:t>
            </w:r>
          </w:p>
          <w:p w14:paraId="44AA01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default" w:ascii="黑体" w:hAnsi="黑体" w:eastAsia="黑体" w:cs="宋体"/>
                <w:sz w:val="28"/>
                <w:szCs w:val="28"/>
                <w:lang w:val="en-US" w:eastAsia="zh-CN"/>
              </w:rPr>
            </w:pPr>
            <w:r>
              <w:rPr>
                <w:rFonts w:hint="default" w:ascii="黑体" w:hAnsi="黑体" w:eastAsia="黑体" w:cs="宋体"/>
                <w:sz w:val="28"/>
                <w:szCs w:val="28"/>
                <w:lang w:val="en-US" w:eastAsia="zh-CN"/>
              </w:rPr>
              <w:t>王旭辉</w:t>
            </w:r>
            <w:r>
              <w:rPr>
                <w:rFonts w:hint="eastAsia" w:ascii="黑体" w:hAnsi="黑体" w:eastAsia="黑体" w:cs="宋体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default" w:ascii="黑体" w:hAnsi="黑体" w:eastAsia="黑体" w:cs="宋体"/>
                <w:sz w:val="28"/>
                <w:szCs w:val="28"/>
                <w:lang w:val="en-US" w:eastAsia="zh-CN"/>
              </w:rPr>
              <w:t>37220222203779</w:t>
            </w:r>
          </w:p>
        </w:tc>
      </w:tr>
      <w:tr w14:paraId="6DB7C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5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ADB9BA">
            <w:pPr>
              <w:spacing w:line="360" w:lineRule="auto"/>
              <w:rPr>
                <w:rFonts w:ascii="黑体" w:hAnsi="黑体" w:eastAsia="黑体" w:cs="宋体"/>
                <w:sz w:val="28"/>
                <w:szCs w:val="28"/>
              </w:rPr>
            </w:pPr>
            <w:r>
              <w:rPr>
                <w:rFonts w:hint="eastAsia" w:ascii="黑体" w:hAnsi="黑体" w:eastAsia="黑体" w:cs="宋体"/>
                <w:sz w:val="28"/>
                <w:szCs w:val="28"/>
              </w:rPr>
              <w:t>指导教师：</w:t>
            </w:r>
          </w:p>
        </w:tc>
        <w:tc>
          <w:tcPr>
            <w:tcW w:w="5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656104">
            <w:pPr>
              <w:spacing w:line="360" w:lineRule="auto"/>
              <w:rPr>
                <w:rFonts w:hint="default" w:ascii="黑体" w:hAnsi="黑体" w:eastAsia="黑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宋体"/>
                <w:sz w:val="28"/>
                <w:szCs w:val="28"/>
                <w:lang w:val="en-US" w:eastAsia="zh-CN"/>
              </w:rPr>
              <w:t>杨律青</w:t>
            </w:r>
          </w:p>
        </w:tc>
      </w:tr>
    </w:tbl>
    <w:p w14:paraId="75D4113B">
      <w:pPr>
        <w:widowControl/>
        <w:spacing w:line="360" w:lineRule="auto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</w:rPr>
        <w:t xml:space="preserve"> </w:t>
      </w:r>
    </w:p>
    <w:p w14:paraId="3159FE24">
      <w:pPr>
        <w:ind w:firstLine="3200" w:firstLineChars="1000"/>
        <w:rPr>
          <w:rFonts w:hint="eastAsia"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</w:rPr>
        <w:t>202</w:t>
      </w:r>
      <w:r>
        <w:rPr>
          <w:rFonts w:hint="eastAsia" w:ascii="黑体" w:hAnsi="黑体" w:eastAsia="黑体" w:cs="宋体"/>
          <w:sz w:val="32"/>
          <w:szCs w:val="32"/>
          <w:lang w:val="en-US" w:eastAsia="zh-CN"/>
        </w:rPr>
        <w:t>5</w:t>
      </w:r>
      <w:r>
        <w:rPr>
          <w:rFonts w:hint="eastAsia" w:ascii="黑体" w:hAnsi="黑体" w:eastAsia="黑体" w:cs="宋体"/>
          <w:sz w:val="32"/>
          <w:szCs w:val="32"/>
        </w:rPr>
        <w:t>年</w:t>
      </w:r>
      <w:r>
        <w:rPr>
          <w:rFonts w:hint="eastAsia" w:ascii="黑体" w:hAnsi="黑体" w:eastAsia="黑体" w:cs="宋体"/>
          <w:sz w:val="32"/>
          <w:szCs w:val="32"/>
          <w:lang w:val="en-US" w:eastAsia="zh-CN"/>
        </w:rPr>
        <w:t>5</w:t>
      </w:r>
      <w:r>
        <w:rPr>
          <w:rFonts w:hint="eastAsia" w:ascii="黑体" w:hAnsi="黑体" w:eastAsia="黑体" w:cs="宋体"/>
          <w:sz w:val="32"/>
          <w:szCs w:val="32"/>
        </w:rPr>
        <w:t>月</w:t>
      </w:r>
    </w:p>
    <w:p w14:paraId="19E24274">
      <w:pPr>
        <w:rPr>
          <w:rFonts w:hint="eastAsia" w:ascii="黑体" w:hAnsi="黑体" w:eastAsia="黑体" w:cs="宋体"/>
          <w:sz w:val="32"/>
          <w:szCs w:val="32"/>
        </w:rPr>
      </w:pPr>
    </w:p>
    <w:p w14:paraId="5250F170">
      <w:pPr>
        <w:jc w:val="center"/>
        <w:rPr>
          <w:rFonts w:hint="eastAsia" w:ascii="宋体" w:hAnsi="宋体" w:eastAsia="宋体" w:cs="宋体"/>
          <w:b/>
          <w:bCs/>
          <w:sz w:val="40"/>
          <w:szCs w:val="4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40"/>
          <w:szCs w:val="40"/>
          <w:lang w:val="en-US" w:eastAsia="zh-CN"/>
        </w:rPr>
        <w:t>人员分工</w:t>
      </w:r>
    </w:p>
    <w:p w14:paraId="03027AE1">
      <w:pPr>
        <w:jc w:val="both"/>
        <w:rPr>
          <w:rFonts w:hint="eastAsia" w:ascii="宋体" w:hAnsi="宋体" w:eastAsia="宋体" w:cs="宋体"/>
          <w:b/>
          <w:bCs/>
          <w:sz w:val="40"/>
          <w:szCs w:val="40"/>
          <w:lang w:val="en-US"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56"/>
        <w:gridCol w:w="6866"/>
      </w:tblGrid>
      <w:tr w14:paraId="32C73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07" w:hRule="atLeast"/>
        </w:trPr>
        <w:tc>
          <w:tcPr>
            <w:tcW w:w="1656" w:type="dxa"/>
          </w:tcPr>
          <w:p w14:paraId="61EA5617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姓名</w:t>
            </w:r>
          </w:p>
        </w:tc>
        <w:tc>
          <w:tcPr>
            <w:tcW w:w="6866" w:type="dxa"/>
          </w:tcPr>
          <w:p w14:paraId="62FFDB1E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分工</w:t>
            </w:r>
          </w:p>
        </w:tc>
      </w:tr>
      <w:tr w14:paraId="1D65D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07" w:hRule="atLeast"/>
        </w:trPr>
        <w:tc>
          <w:tcPr>
            <w:tcW w:w="1656" w:type="dxa"/>
          </w:tcPr>
          <w:p w14:paraId="7106C298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邢舒扬</w:t>
            </w:r>
          </w:p>
        </w:tc>
        <w:tc>
          <w:tcPr>
            <w:tcW w:w="6866" w:type="dxa"/>
          </w:tcPr>
          <w:p w14:paraId="08EB6865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作为组长，统筹安排组内工作；负责撰写任务1,2,3</w:t>
            </w:r>
          </w:p>
        </w:tc>
      </w:tr>
      <w:tr w14:paraId="4F693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07" w:hRule="atLeast"/>
        </w:trPr>
        <w:tc>
          <w:tcPr>
            <w:tcW w:w="1656" w:type="dxa"/>
          </w:tcPr>
          <w:p w14:paraId="6EE2DC33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曾炜博</w:t>
            </w:r>
          </w:p>
        </w:tc>
        <w:tc>
          <w:tcPr>
            <w:tcW w:w="6866" w:type="dxa"/>
          </w:tcPr>
          <w:p w14:paraId="76C19316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Word排版；负责撰写任务4,5,6</w:t>
            </w:r>
          </w:p>
        </w:tc>
      </w:tr>
      <w:tr w14:paraId="4269D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07" w:hRule="atLeast"/>
        </w:trPr>
        <w:tc>
          <w:tcPr>
            <w:tcW w:w="1656" w:type="dxa"/>
          </w:tcPr>
          <w:p w14:paraId="2B7403DD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王子尧</w:t>
            </w:r>
          </w:p>
        </w:tc>
        <w:tc>
          <w:tcPr>
            <w:tcW w:w="6866" w:type="dxa"/>
          </w:tcPr>
          <w:p w14:paraId="22077FB9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文档内容校对；负责</w:t>
            </w:r>
            <w:r>
              <w:rPr>
                <w:rFonts w:hint="eastAsia" w:ascii="宋体" w:hAnsi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撰写</w:t>
            </w:r>
            <w:r>
              <w:rPr>
                <w:rFonts w:hint="eastAsia" w:ascii="宋体" w:hAnsi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任务7,8</w:t>
            </w:r>
          </w:p>
        </w:tc>
      </w:tr>
      <w:tr w14:paraId="3B2AD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07" w:hRule="atLeast"/>
        </w:trPr>
        <w:tc>
          <w:tcPr>
            <w:tcW w:w="1656" w:type="dxa"/>
          </w:tcPr>
          <w:p w14:paraId="161B26E0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王旭辉</w:t>
            </w:r>
          </w:p>
        </w:tc>
        <w:tc>
          <w:tcPr>
            <w:tcW w:w="6866" w:type="dxa"/>
          </w:tcPr>
          <w:p w14:paraId="2CF8606E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文档内容校对；负责</w:t>
            </w:r>
            <w:r>
              <w:rPr>
                <w:rFonts w:hint="eastAsia" w:ascii="宋体" w:hAnsi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撰写</w:t>
            </w:r>
            <w:r>
              <w:rPr>
                <w:rFonts w:hint="eastAsia" w:ascii="宋体" w:hAnsi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任务9,10</w:t>
            </w:r>
          </w:p>
        </w:tc>
      </w:tr>
    </w:tbl>
    <w:p w14:paraId="0CF9700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/>
          <w:bCs/>
          <w:sz w:val="28"/>
          <w:szCs w:val="28"/>
          <w:lang w:val="en-US" w:eastAsia="zh-CN"/>
        </w:rPr>
      </w:pPr>
    </w:p>
    <w:p w14:paraId="7547228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/>
          <w:bCs/>
          <w:sz w:val="28"/>
          <w:szCs w:val="28"/>
          <w:lang w:val="en-US" w:eastAsia="zh-CN"/>
        </w:rPr>
      </w:pPr>
    </w:p>
    <w:p w14:paraId="39F011C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/>
          <w:bCs/>
          <w:sz w:val="28"/>
          <w:szCs w:val="28"/>
          <w:lang w:val="en-US" w:eastAsia="zh-CN"/>
        </w:rPr>
      </w:pPr>
    </w:p>
    <w:p w14:paraId="5D5B877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/>
          <w:bCs/>
          <w:sz w:val="28"/>
          <w:szCs w:val="28"/>
          <w:lang w:val="en-US" w:eastAsia="zh-CN"/>
        </w:rPr>
      </w:pPr>
    </w:p>
    <w:p w14:paraId="5B1C004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/>
          <w:bCs/>
          <w:sz w:val="28"/>
          <w:szCs w:val="28"/>
          <w:lang w:val="en-US" w:eastAsia="zh-CN"/>
        </w:rPr>
      </w:pPr>
    </w:p>
    <w:p w14:paraId="6555DF4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/>
          <w:bCs/>
          <w:sz w:val="28"/>
          <w:szCs w:val="28"/>
          <w:lang w:val="en-US" w:eastAsia="zh-CN"/>
        </w:rPr>
      </w:pPr>
    </w:p>
    <w:p w14:paraId="4BF98BB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/>
          <w:bCs/>
          <w:sz w:val="28"/>
          <w:szCs w:val="28"/>
          <w:lang w:val="en-US" w:eastAsia="zh-CN"/>
        </w:rPr>
      </w:pPr>
    </w:p>
    <w:p w14:paraId="40C42D6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/>
          <w:bCs/>
          <w:sz w:val="28"/>
          <w:szCs w:val="28"/>
          <w:lang w:val="en-US" w:eastAsia="zh-CN"/>
        </w:rPr>
      </w:pPr>
    </w:p>
    <w:p w14:paraId="3535664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/>
          <w:bCs/>
          <w:sz w:val="28"/>
          <w:szCs w:val="28"/>
          <w:lang w:val="en-US" w:eastAsia="zh-CN"/>
        </w:rPr>
      </w:pPr>
    </w:p>
    <w:p w14:paraId="0FF5DDE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/>
          <w:bCs/>
          <w:sz w:val="28"/>
          <w:szCs w:val="28"/>
          <w:lang w:val="en-US" w:eastAsia="zh-CN"/>
        </w:rPr>
      </w:pPr>
    </w:p>
    <w:p w14:paraId="6D017B5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/>
          <w:bCs/>
          <w:sz w:val="28"/>
          <w:szCs w:val="28"/>
          <w:lang w:val="en-US" w:eastAsia="zh-CN"/>
        </w:rPr>
      </w:pPr>
    </w:p>
    <w:p w14:paraId="560D9CA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/>
          <w:bCs/>
          <w:sz w:val="28"/>
          <w:szCs w:val="28"/>
          <w:lang w:val="en-US" w:eastAsia="zh-CN"/>
        </w:rPr>
      </w:pPr>
    </w:p>
    <w:p w14:paraId="2CE8998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任务一：如何确认项目最终需求与处理项目变更</w:t>
      </w:r>
    </w:p>
    <w:p w14:paraId="24C2AE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在需求确认阶段，鉴于甲方需求尚不明确，应当采用“渐进明细化（Progressive Elaboration）”策略，配合原型驱动（Prototype-driven）的需求调研方法，组织系列需求研讨会（JAD会议）邀请甲方主要干系人参与，迭代收集、澄清、确认需求，并通过用例（Use Case）与流程图等可视化手段加强沟通理解，逐步明确需求细节。此外，将采用需求基线控制流程，对确认后的需求进行版本管理，未经正式审批不得更改。</w:t>
      </w:r>
    </w:p>
    <w:p w14:paraId="1B06ED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</w:p>
    <w:p w14:paraId="4A71A2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对于频繁变化的需求，应当建立变更控制流程，成立变更控制委员会（CCB），包括甲方代表、我方项目经理、总监督等关键干系人。所有需求变更必须以变更请求（Change Request）形式提交，经影响评估（范围、时间、成本、质量）后再由CCB审批，确保变更是有序且可控的。</w:t>
      </w:r>
    </w:p>
    <w:p w14:paraId="1454AB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</w:p>
    <w:p w14:paraId="77B6AA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任务二：如何管理开发进度及制定进度计划时的考虑</w:t>
      </w:r>
    </w:p>
    <w:p w14:paraId="4F259C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应当采用“关键路径法（Critical Path Method）”结合“里程碑管理”对整个项目实施严格的进度管理。首先将项目拆解为WBS（工作分解结构），明确每项工作包的起止时间、资源投入与依赖关系，使用甘特图和PERT图辅助排程。每个关键里程碑（如ICP联调完成、系统上线）设置阶段验收，实施滚动式规划与进度回顾。</w:t>
      </w:r>
    </w:p>
    <w:p w14:paraId="35E12D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bookmarkStart w:id="0" w:name="_GoBack"/>
      <w:bookmarkEnd w:id="0"/>
    </w:p>
    <w:p w14:paraId="4DB25E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制定进度计划时，应重点考虑以下要素：</w:t>
      </w:r>
    </w:p>
    <w:p w14:paraId="39F96AD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甲方强制上线时间节点（如2004/11/20上线）；</w:t>
      </w:r>
    </w:p>
    <w:p w14:paraId="641368B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各参与方之间的协调周期（如ICP接口调试）；</w:t>
      </w:r>
    </w:p>
    <w:p w14:paraId="3992BD2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外部人员资源能力差异（如甲方新手开发人员）；</w:t>
      </w:r>
    </w:p>
    <w:p w14:paraId="244C3D3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公司结构调整对资源调配可能的影响；</w:t>
      </w:r>
    </w:p>
    <w:p w14:paraId="1DBBDE8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需求变更对整体计划的影响；</w:t>
      </w:r>
    </w:p>
    <w:p w14:paraId="45FA38D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技术难点（如加密算法）导致的不可预见工期延误。</w:t>
      </w:r>
    </w:p>
    <w:p w14:paraId="25D56C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</w:p>
    <w:p w14:paraId="129334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</w:p>
    <w:p w14:paraId="5A1FCF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任务三：如何控制项目的CPI指标</w:t>
      </w:r>
    </w:p>
    <w:p w14:paraId="673E74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</w:p>
    <w:p w14:paraId="21C76C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项目CPI（成本绩效指数）= EV / AC，其中 EV 为挣得值，AC 为实际成本。应当通过以下方式控制CPI：</w:t>
      </w:r>
    </w:p>
    <w:p w14:paraId="2E67A9A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制定详尽预算计划，建立成本基线，并将成本分解到WBS层级；</w:t>
      </w:r>
    </w:p>
    <w:p w14:paraId="1C63521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每周进行一次成本绩效评估，使用挣值分析法（EVM）监控CPI；</w:t>
      </w:r>
    </w:p>
    <w:p w14:paraId="5BF3585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对于成本偏差，及时发出变更控制信号并进行原因分析；</w:t>
      </w:r>
    </w:p>
    <w:p w14:paraId="4BF39CB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使用项目管理工具（如MS Project、Excel成本表）实时记录人工成本与外包费用；</w:t>
      </w:r>
    </w:p>
    <w:p w14:paraId="616D8D5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对外协工作（如加密算法模块）采用固定总价合同方式降低成本波动风险。</w:t>
      </w:r>
    </w:p>
    <w:p w14:paraId="4E0C0AE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合理控制CPI的目标是始终使该值维持在 1.0 左右，若持续低于0.9，则需触发应对策略，如调整资源或优化工作方式。</w:t>
      </w:r>
    </w:p>
    <w:p w14:paraId="06A27E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</w:p>
    <w:p w14:paraId="2F6CE1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任务四：如何使用甲方开发人员与与总监督协作保障项目成功</w:t>
      </w:r>
    </w:p>
    <w:p w14:paraId="4A7AE7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将甲方两名开发人员整合进开发小组中，安排一名经验丰富的我方开发带教工作，确保他们在核心业务流程或非关键模块中发挥作用，如协助完成ICP对接模块的测试脚本编写和Bug验证，以降低技术风险。同时这也有利于加强我方与甲方的沟通。</w:t>
      </w:r>
    </w:p>
    <w:p w14:paraId="78D0C7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项目总监督作为前期参与者，熟悉甲方需求和公司业务，适合承担“高级顾问”与“技术把关”角色。应当与其建立双周例会制度，并邀请其参与阶段评审会议，共同推动需求澄清、技术评审与风险管理，确保项目目标统一、风险可控。</w:t>
      </w:r>
    </w:p>
    <w:p w14:paraId="7580EB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</w:p>
    <w:p w14:paraId="18783B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任务五：如何保证项目的开发质量</w:t>
      </w:r>
    </w:p>
    <w:p w14:paraId="57A5E5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开发质量将从过程质量和结果质量两个维度控制。首先建立《质量管理计划》，明确质量标准与质量审核机制。采用以下措施：</w:t>
      </w:r>
    </w:p>
    <w:p w14:paraId="3CD7EF82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建立单元测试和集成测试规范，使用自动化测试工具提升效率；</w:t>
      </w:r>
    </w:p>
    <w:p w14:paraId="6097710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引入代码审查制度，确保代码质量与风格统一；</w:t>
      </w:r>
    </w:p>
    <w:p w14:paraId="0856CCE0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配置独立QA人员参与测试，编写测试计划与测试报告；</w:t>
      </w:r>
    </w:p>
    <w:p w14:paraId="5697EBC2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在主要阶段节点组织用户参与验收测试（UAT）；</w:t>
      </w:r>
    </w:p>
    <w:p w14:paraId="61D175EC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严格遵守版本管理制度，采用SVN或CVS等工具控制变更；</w:t>
      </w:r>
    </w:p>
    <w:p w14:paraId="1E5ABB9B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质量缺陷分级管理，P1问题必须在24小时内响应并修复。</w:t>
      </w:r>
    </w:p>
    <w:p w14:paraId="0C91E56B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最终以甲方验收指标作为检验标准，确保系统稳定、安全、用户体验良好。</w:t>
      </w:r>
    </w:p>
    <w:p w14:paraId="0B4EC7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</w:p>
    <w:p w14:paraId="572726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任务六：如何组建项目团队与激励士气</w:t>
      </w:r>
    </w:p>
    <w:p w14:paraId="5F5CF1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项目采用矩阵型组织结构，应当根据WBS任务内容划分功能团队（系统集成、用户接口、账务模块、ICP对接等），分别从公司R&amp;D部门抽调骨干人员，同时保留横向协调职能。</w:t>
      </w:r>
    </w:p>
    <w:p w14:paraId="7E1FD2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激励团队士气措施如下：</w:t>
      </w:r>
    </w:p>
    <w:p w14:paraId="7DB8CBC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实施阶段目标激励制度，达成关键里程碑发放阶段奖金；</w:t>
      </w:r>
    </w:p>
    <w:p w14:paraId="6985EC7B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每周例会分享项目进展与团队贡献，增强成员认同感；</w:t>
      </w:r>
    </w:p>
    <w:p w14:paraId="1F631365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为团队成员设定可见的发展路径，如推荐转任模块负责人；</w:t>
      </w:r>
    </w:p>
    <w:p w14:paraId="5801A94C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及时反馈并公开表扬高绩效成员，激励团队正向氛围；</w:t>
      </w:r>
    </w:p>
    <w:p w14:paraId="3122DDBC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提供加班补贴与合理的弹性安排，避免疲劳过劳。</w:t>
      </w:r>
    </w:p>
    <w:p w14:paraId="617E36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</w:p>
    <w:p w14:paraId="1F4E93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任务七：项目十个主要风险点及其管理方案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54875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shd w:val="clear" w:color="auto" w:fill="auto"/>
            <w:vAlign w:val="center"/>
          </w:tcPr>
          <w:p w14:paraId="519E95B5">
            <w:pPr>
              <w:keepNext w:val="0"/>
              <w:keepLines w:val="0"/>
              <w:widowControl/>
              <w:suppressLineNumbers w:val="0"/>
              <w:jc w:val="center"/>
              <w:rPr>
                <w:rFonts w:ascii="Calibri" w:hAnsi="Calibri" w:eastAsia="宋体" w:cs="Calibri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风险点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28230E93">
            <w:pPr>
              <w:keepNext w:val="0"/>
              <w:keepLines w:val="0"/>
              <w:widowControl/>
              <w:suppressLineNumbers w:val="0"/>
              <w:jc w:val="center"/>
              <w:rPr>
                <w:rFonts w:ascii="Calibri" w:hAnsi="Calibri" w:eastAsia="宋体" w:cs="Calibri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风险识别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2177B7DA">
            <w:pPr>
              <w:keepNext w:val="0"/>
              <w:keepLines w:val="0"/>
              <w:widowControl/>
              <w:suppressLineNumbers w:val="0"/>
              <w:jc w:val="center"/>
              <w:rPr>
                <w:rFonts w:ascii="Calibri" w:hAnsi="Calibri" w:eastAsia="宋体" w:cs="Calibri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量化评估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1077ED2D">
            <w:pPr>
              <w:keepNext w:val="0"/>
              <w:keepLines w:val="0"/>
              <w:widowControl/>
              <w:suppressLineNumbers w:val="0"/>
              <w:jc w:val="center"/>
              <w:rPr>
                <w:rFonts w:ascii="Calibri" w:hAnsi="Calibri" w:eastAsia="宋体" w:cs="Calibri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应对措施</w:t>
            </w:r>
          </w:p>
        </w:tc>
      </w:tr>
      <w:tr w14:paraId="1EA41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shd w:val="clear" w:color="auto" w:fill="auto"/>
            <w:vAlign w:val="center"/>
          </w:tcPr>
          <w:p w14:paraId="4B7868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需求频繁变更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5B1F997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项目初期需求不清晰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2D71418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高概率，高影响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76410E4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建立变更控制委员会，加强需求基线管理</w:t>
            </w:r>
          </w:p>
        </w:tc>
      </w:tr>
      <w:tr w14:paraId="6288A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shd w:val="clear" w:color="auto" w:fill="auto"/>
            <w:vAlign w:val="center"/>
          </w:tcPr>
          <w:p w14:paraId="62C60A9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 ICP接口调试失败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79760A1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技术复杂且需多方配合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03CC8B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中概率，高影响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537DDA8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提前规划接口规范，安排接口测试缓冲期</w:t>
            </w:r>
          </w:p>
        </w:tc>
      </w:tr>
      <w:tr w14:paraId="7DA09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shd w:val="clear" w:color="auto" w:fill="auto"/>
            <w:vAlign w:val="center"/>
          </w:tcPr>
          <w:p w14:paraId="5AF7A7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 开发人员经验不足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57EBF6D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甲方派遣新人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2071B67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高概率，中影响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186587A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安排带教和模块拆分，降低关键任务依赖</w:t>
            </w:r>
          </w:p>
        </w:tc>
      </w:tr>
      <w:tr w14:paraId="44582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shd w:val="clear" w:color="auto" w:fill="auto"/>
            <w:vAlign w:val="center"/>
          </w:tcPr>
          <w:p w14:paraId="321E61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 技术不可行风险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53BEDCC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加密算法实现失败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521257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中概率，高影响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4B39C61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外包高风险模块，设立预研阶段</w:t>
            </w:r>
          </w:p>
        </w:tc>
      </w:tr>
      <w:tr w14:paraId="48489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shd w:val="clear" w:color="auto" w:fill="auto"/>
            <w:vAlign w:val="center"/>
          </w:tcPr>
          <w:p w14:paraId="36D9594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 项目人员流动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21FC3C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公司结构调整期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437AF6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中概率，高影响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488A65F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设置核心人员锁定机制，文档充分交接</w:t>
            </w:r>
          </w:p>
        </w:tc>
      </w:tr>
      <w:tr w14:paraId="6D555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shd w:val="clear" w:color="auto" w:fill="auto"/>
            <w:vAlign w:val="center"/>
          </w:tcPr>
          <w:p w14:paraId="41BB8D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6. 工期延误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2C22A9E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外部协调不畅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21D085A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高概率，中影响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3F23E62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加强里程碑管控，设立预警机制</w:t>
            </w:r>
          </w:p>
        </w:tc>
      </w:tr>
      <w:tr w14:paraId="4F8F2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shd w:val="clear" w:color="auto" w:fill="auto"/>
            <w:vAlign w:val="center"/>
          </w:tcPr>
          <w:p w14:paraId="3EDAA1C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7. 成本超支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685189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变更频繁导致返工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1A14A2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中概率，高影响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47196DC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强化成本监控，使用挣值分析</w:t>
            </w:r>
          </w:p>
        </w:tc>
      </w:tr>
      <w:tr w14:paraId="41AC3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shd w:val="clear" w:color="auto" w:fill="auto"/>
            <w:vAlign w:val="center"/>
          </w:tcPr>
          <w:p w14:paraId="16CAA2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8. 质量风险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2115A7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缺乏统一测试标准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61C9BC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中概率，中影响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41AE30A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设立QA岗位，测试用例提前制定</w:t>
            </w:r>
          </w:p>
        </w:tc>
      </w:tr>
      <w:tr w14:paraId="1FE7C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shd w:val="clear" w:color="auto" w:fill="auto"/>
            <w:vAlign w:val="center"/>
          </w:tcPr>
          <w:p w14:paraId="41A6528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9. 沟通不畅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4AD530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多方参与方信息不同步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671686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高概率，高影响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0DA50F7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建立例会制度，使用统一沟通平台</w:t>
            </w:r>
          </w:p>
        </w:tc>
      </w:tr>
      <w:tr w14:paraId="053D5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shd w:val="clear" w:color="auto" w:fill="auto"/>
            <w:vAlign w:val="center"/>
          </w:tcPr>
          <w:p w14:paraId="41AB695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10. 验收风险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44DB938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验收标准不明确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71BAB8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中概率，高影响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44C66D9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验收指标纳入合同附件，提前对齐验收标准</w:t>
            </w:r>
          </w:p>
        </w:tc>
      </w:tr>
    </w:tbl>
    <w:p w14:paraId="308C9F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</w:p>
    <w:p w14:paraId="24D6C5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任务八：如何建立高效沟通机制</w:t>
      </w:r>
    </w:p>
    <w:p w14:paraId="4CFD58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根据PMBOK中的“沟通管理计划”原则，应当制定以下沟通策略：</w:t>
      </w:r>
    </w:p>
    <w:p w14:paraId="01A9C6B1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建立项目干系人沟通清单，明确信息需求、频次、形式；</w:t>
      </w:r>
    </w:p>
    <w:p w14:paraId="2B5E1E81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每周组织项目例会，记录会议纪要并同步至共享平台；</w:t>
      </w:r>
    </w:p>
    <w:p w14:paraId="7564884B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每日晨会快速同步开发进度与问题；</w:t>
      </w:r>
    </w:p>
    <w:p w14:paraId="00314C23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使用统一的沟通平台（如企业微信+邮件+项目管理系统）；</w:t>
      </w:r>
    </w:p>
    <w:p w14:paraId="12A4C3CF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甲方、ICP方参与关键里程碑评审会议，保持干系人对齐；</w:t>
      </w:r>
    </w:p>
    <w:p w14:paraId="711588BD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总监督与PM单独设置对口会议，确保信息垂直流畅。</w:t>
      </w:r>
    </w:p>
    <w:p w14:paraId="352B23B3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沟通是解决协调问题与推动决策的核心，需高效、规范、及时。</w:t>
      </w:r>
    </w:p>
    <w:p w14:paraId="438AB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</w:p>
    <w:p w14:paraId="68B7DB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任务九：关于项目验收与合同回款的建议</w:t>
      </w:r>
    </w:p>
    <w:p w14:paraId="6C0268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验收环节建议细化为三个阶段：功能初验、系统联调测试、正式上线验收，每个阶段输出相应的验收文档并经甲方签字确认。为保障回款，建议将合同款项按里程碑支付（例如30%启动，30%中期，30%上线，10%维保期后），并将“上线前完成两家ICP联调”列为重要节点。</w:t>
      </w:r>
    </w:p>
    <w:p w14:paraId="44D3C1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回款前需注意：</w:t>
      </w:r>
    </w:p>
    <w:p w14:paraId="55A6F5F6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提前提醒甲方财务准备流程；</w:t>
      </w:r>
    </w:p>
    <w:p w14:paraId="6ED6479E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所有验收文档齐全、签字明确；</w:t>
      </w:r>
    </w:p>
    <w:p w14:paraId="72AC4FD5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提供发票与收款账户无误。</w:t>
      </w:r>
    </w:p>
    <w:p w14:paraId="573D261F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如有拖延回款风险，应由商务人员提前介入，保障公司资金流。</w:t>
      </w:r>
    </w:p>
    <w:p w14:paraId="76D275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</w:p>
    <w:p w14:paraId="0D5710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任务十：如何做好整体项目管理</w:t>
      </w:r>
    </w:p>
    <w:p w14:paraId="7ABA41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整体管理应涵盖以下方面：</w:t>
      </w:r>
    </w:p>
    <w:p w14:paraId="08F65E41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制定《项目章程》与《项目管理计划》，涵盖范围、进度、成本、质量、沟通、风险、人力、采购等知识领域；</w:t>
      </w:r>
    </w:p>
    <w:p w14:paraId="50A925EC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使用PMIS工具（如Project+Excel）进行任务跟踪与信息整合；</w:t>
      </w:r>
    </w:p>
    <w:p w14:paraId="3028FF9F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启用版本控制与配置管理制度，避免变更失控；</w:t>
      </w:r>
    </w:p>
    <w:p w14:paraId="5386FEF2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每周项目回顾，发现问题及时改进；</w:t>
      </w:r>
    </w:p>
    <w:p w14:paraId="411DE5EA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利用挣值管理（EVM）分析成本/进度绩效；</w:t>
      </w:r>
    </w:p>
    <w:p w14:paraId="65F8FE13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建立项目知识库，沉淀可复用经验；</w:t>
      </w:r>
    </w:p>
    <w:p w14:paraId="424A155B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项目结束后进行结项评审与复盘，撰写项目总结报告，推动组织过程资产积累。</w:t>
      </w:r>
    </w:p>
    <w:p w14:paraId="104E457F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通过系统化、制度化、工具化管理手段，确保项目从启动到收尾顺利执行，交付可控、客户满意。</w:t>
      </w:r>
    </w:p>
    <w:p w14:paraId="469EF1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</w:p>
    <w:p w14:paraId="67BB85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ind w:firstLine="3840" w:firstLineChars="1600"/>
        <w:jc w:val="left"/>
        <w:textAlignment w:val="auto"/>
        <w:rPr>
          <w:rFonts w:hint="default"/>
          <w:b w:val="0"/>
          <w:bCs w:val="0"/>
          <w:sz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演示秋鸿楷">
    <w:panose1 w:val="00000500000000000000"/>
    <w:charset w:val="86"/>
    <w:family w:val="auto"/>
    <w:pitch w:val="default"/>
    <w:sig w:usb0="00000001" w:usb1="08000000" w:usb2="00000000" w:usb3="00000000" w:csb0="00040000" w:csb1="00000000"/>
  </w:font>
  <w:font w:name="霞鹜文楷等宽">
    <w:panose1 w:val="02000800000000000000"/>
    <w:charset w:val="86"/>
    <w:family w:val="auto"/>
    <w:pitch w:val="default"/>
    <w:sig w:usb0="80000287" w:usb1="3ACF3C73" w:usb2="04000012" w:usb3="00000000" w:csb0="40140093" w:csb1="CDD60000"/>
  </w:font>
  <w:font w:name="演示夏行楷">
    <w:panose1 w:val="00000500000000000000"/>
    <w:charset w:val="86"/>
    <w:family w:val="auto"/>
    <w:pitch w:val="default"/>
    <w:sig w:usb0="00000001" w:usb1="0800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082330"/>
    <w:multiLevelType w:val="singleLevel"/>
    <w:tmpl w:val="AA08233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B55606A4"/>
    <w:multiLevelType w:val="singleLevel"/>
    <w:tmpl w:val="B55606A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A476CF4"/>
    <w:multiLevelType w:val="singleLevel"/>
    <w:tmpl w:val="FA476CF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2DB0000B"/>
    <w:multiLevelType w:val="singleLevel"/>
    <w:tmpl w:val="2DB0000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4234004B"/>
    <w:multiLevelType w:val="singleLevel"/>
    <w:tmpl w:val="4234004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44FBD582"/>
    <w:multiLevelType w:val="singleLevel"/>
    <w:tmpl w:val="44FBD58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6BE87A52"/>
    <w:multiLevelType w:val="singleLevel"/>
    <w:tmpl w:val="6BE87A5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5"/>
  </w:num>
  <w:num w:numId="5">
    <w:abstractNumId w:val="4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VmYzdlODY3YjcyOGIxZWJjNDdiZGU3NGMyNTUwZTAifQ=="/>
  </w:docVars>
  <w:rsids>
    <w:rsidRoot w:val="00172A27"/>
    <w:rsid w:val="01654A58"/>
    <w:rsid w:val="069204BF"/>
    <w:rsid w:val="0D577995"/>
    <w:rsid w:val="1A285809"/>
    <w:rsid w:val="1DAA5FFF"/>
    <w:rsid w:val="5DAD4A24"/>
    <w:rsid w:val="654A0AB0"/>
    <w:rsid w:val="714809C3"/>
    <w:rsid w:val="784105F3"/>
    <w:rsid w:val="7AC42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2928</Words>
  <Characters>4400</Characters>
  <Lines>0</Lines>
  <Paragraphs>0</Paragraphs>
  <TotalTime>3</TotalTime>
  <ScaleCrop>false</ScaleCrop>
  <LinksUpToDate>false</LinksUpToDate>
  <CharactersWithSpaces>4722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2023-12-17T10:41:00Z</dcterms:created>
  <dc:creator>ynkmx</dc:creator>
  <cp:lastModifiedBy>Shuyang Xing</cp:lastModifiedBy>
  <dcterms:modified xsi:type="dcterms:W3CDTF">2025-05-06T07:09:14Z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79CA931F540F425C86AD9ACAF27BF2AA_12</vt:lpwstr>
  </property>
  <property fmtid="{D5CDD505-2E9C-101B-9397-08002B2CF9AE}" pid="4" name="KSOTemplateDocerSaveRecord">
    <vt:lpwstr>eyJoZGlkIjoiYTllMWVkMDJhOGZiNzQxMGI0NDMzZGRhMmM0NWFmYTYiLCJ1c2VySWQiOiIyODUwMTQwNjUifQ==</vt:lpwstr>
  </property>
</Properties>
</file>