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7D334">
      <w:pPr>
        <w:spacing w:line="360" w:lineRule="auto"/>
        <w:jc w:val="center"/>
        <w:rPr>
          <w:rFonts w:ascii="黑体" w:hAnsi="黑体" w:eastAsia="黑体"/>
          <w:color w:val="FF0000"/>
          <w:sz w:val="24"/>
          <w:szCs w:val="24"/>
        </w:rPr>
      </w:pPr>
      <w:r>
        <w:drawing>
          <wp:inline distT="0" distB="0" distL="0" distR="0">
            <wp:extent cx="2455545" cy="2420620"/>
            <wp:effectExtent l="0" t="0" r="8255" b="5080"/>
            <wp:docPr id="1026" name="图片 4" descr="无标题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4" descr="无标题123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2420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B196">
      <w:pPr>
        <w:spacing w:line="360" w:lineRule="auto"/>
        <w:jc w:val="center"/>
        <w:rPr>
          <w:rFonts w:ascii="黑体" w:hAnsi="黑体" w:eastAsia="黑体"/>
          <w:color w:val="FF0000"/>
          <w:sz w:val="24"/>
          <w:szCs w:val="24"/>
        </w:rPr>
      </w:pPr>
    </w:p>
    <w:p w14:paraId="0EFFE086">
      <w:pPr>
        <w:spacing w:line="360" w:lineRule="auto"/>
        <w:ind w:left="2"/>
        <w:jc w:val="center"/>
        <w:rPr>
          <w:rFonts w:ascii="宋体" w:hAnsi="宋体" w:cs="Times New Roman"/>
          <w:sz w:val="30"/>
          <w:szCs w:val="30"/>
        </w:rPr>
      </w:pPr>
      <w:r>
        <w:rPr>
          <w:rFonts w:hint="eastAsia" w:cs="宋体"/>
        </w:rPr>
        <w:drawing>
          <wp:inline distT="0" distB="0" distL="0" distR="0">
            <wp:extent cx="2172335" cy="7816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1DB5">
      <w:pPr>
        <w:spacing w:line="360" w:lineRule="auto"/>
        <w:ind w:left="2"/>
        <w:jc w:val="center"/>
        <w:rPr>
          <w:rFonts w:ascii="宋体" w:hAnsi="宋体" w:cs="Times New Roman"/>
          <w:sz w:val="30"/>
          <w:szCs w:val="30"/>
        </w:rPr>
      </w:pPr>
      <w:r>
        <w:rPr>
          <w:rFonts w:hint="eastAsia" w:ascii="宋体" w:hAnsi="宋体" w:cs="Times New Roman"/>
          <w:sz w:val="30"/>
          <w:szCs w:val="30"/>
        </w:rPr>
        <w:t xml:space="preserve"> </w:t>
      </w:r>
    </w:p>
    <w:p w14:paraId="0EB1D1E6">
      <w:pPr>
        <w:spacing w:before="100" w:beforeAutospacing="1" w:after="100" w:afterAutospacing="1" w:line="360" w:lineRule="auto"/>
        <w:ind w:firstLine="200"/>
        <w:contextualSpacing/>
        <w:jc w:val="center"/>
        <w:rPr>
          <w:rFonts w:hint="default" w:ascii="宋体" w:hAnsi="宋体" w:eastAsia="等线" w:cs="Times New Roman"/>
          <w:sz w:val="28"/>
          <w:szCs w:val="28"/>
          <w:lang w:val="en-US" w:eastAsia="zh-CN"/>
        </w:rPr>
      </w:pPr>
      <w:r>
        <w:rPr>
          <w:rFonts w:hint="eastAsia" w:ascii="宋体" w:hAnsi="宋体" w:eastAsia="等线" w:cs="Times New Roman"/>
          <w:sz w:val="40"/>
          <w:szCs w:val="40"/>
          <w:lang w:val="en-US" w:eastAsia="zh-CN"/>
        </w:rPr>
        <w:t>软件项目管理</w:t>
      </w:r>
      <w:r>
        <w:rPr>
          <w:rFonts w:hint="eastAsia" w:ascii="宋体" w:hAnsi="宋体" w:eastAsia="等线" w:cs="Times New Roman"/>
          <w:sz w:val="40"/>
          <w:szCs w:val="40"/>
        </w:rPr>
        <w:t xml:space="preserve">  </w:t>
      </w:r>
      <w:r>
        <w:rPr>
          <w:rFonts w:hint="eastAsia" w:ascii="等线" w:hAnsi="等线" w:eastAsia="等线" w:cs="Times New Roman"/>
          <w:sz w:val="40"/>
          <w:szCs w:val="40"/>
          <w:lang w:val="en-US" w:eastAsia="zh-CN"/>
        </w:rPr>
        <w:t>课程实践报告</w:t>
      </w:r>
    </w:p>
    <w:p w14:paraId="6906E500">
      <w:pPr>
        <w:spacing w:before="100" w:beforeAutospacing="1" w:after="100" w:afterAutospacing="1" w:line="360" w:lineRule="auto"/>
        <w:contextualSpacing/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等线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——ERP项目，助力厦兴化工理顺“信息流”</w:t>
      </w:r>
    </w:p>
    <w:p w14:paraId="62C6774B">
      <w:pPr>
        <w:spacing w:before="100" w:beforeAutospacing="1" w:after="100" w:afterAutospacing="1" w:line="360" w:lineRule="auto"/>
        <w:contextualSpacing/>
        <w:jc w:val="center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tbl>
      <w:tblPr>
        <w:tblStyle w:val="5"/>
        <w:tblW w:w="73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857"/>
      </w:tblGrid>
      <w:tr w14:paraId="00A1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156F5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院 系：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2C94E">
            <w:pPr>
              <w:spacing w:line="360" w:lineRule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信息学院</w:t>
            </w:r>
          </w:p>
        </w:tc>
      </w:tr>
      <w:tr w14:paraId="103F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B5C28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专 业：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5FFDA">
            <w:pPr>
              <w:spacing w:line="360" w:lineRule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软件工程专业</w:t>
            </w:r>
          </w:p>
        </w:tc>
      </w:tr>
      <w:tr w14:paraId="5A51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807F2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年 级：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4C875">
            <w:pPr>
              <w:spacing w:line="360" w:lineRule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2022级</w:t>
            </w:r>
          </w:p>
        </w:tc>
      </w:tr>
      <w:tr w14:paraId="39A2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3C06A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姓 名：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6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邢舒扬 37220222203807（组长）</w:t>
            </w:r>
          </w:p>
          <w:p w14:paraId="38E5A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曾炜博 37220222203855</w:t>
            </w:r>
          </w:p>
          <w:p w14:paraId="44853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王子尧 37220222203786</w:t>
            </w:r>
          </w:p>
          <w:p w14:paraId="44AA0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王旭辉</w:t>
            </w: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  <w:t>37220222203779</w:t>
            </w:r>
          </w:p>
        </w:tc>
      </w:tr>
      <w:tr w14:paraId="6DB7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DB9BA">
            <w:pPr>
              <w:spacing w:line="360" w:lineRule="auto"/>
              <w:rPr>
                <w:rFonts w:ascii="黑体" w:hAnsi="黑体" w:eastAsia="黑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</w:rPr>
              <w:t>指导教师：</w:t>
            </w:r>
          </w:p>
        </w:tc>
        <w:tc>
          <w:tcPr>
            <w:tcW w:w="5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56104">
            <w:pPr>
              <w:spacing w:line="360" w:lineRule="auto"/>
              <w:rPr>
                <w:rFonts w:hint="default" w:ascii="黑体" w:hAnsi="黑体" w:eastAsia="黑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sz w:val="28"/>
                <w:szCs w:val="28"/>
                <w:lang w:val="en-US" w:eastAsia="zh-CN"/>
              </w:rPr>
              <w:t>杨律青</w:t>
            </w:r>
          </w:p>
        </w:tc>
      </w:tr>
    </w:tbl>
    <w:p w14:paraId="75D4113B">
      <w:pPr>
        <w:widowControl/>
        <w:spacing w:line="360" w:lineRule="auto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 xml:space="preserve"> </w:t>
      </w:r>
    </w:p>
    <w:p w14:paraId="3159FE24">
      <w:pPr>
        <w:ind w:firstLine="3200" w:firstLineChars="1000"/>
        <w:rPr>
          <w:rFonts w:hint="eastAsia"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202</w:t>
      </w: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宋体"/>
          <w:sz w:val="32"/>
          <w:szCs w:val="32"/>
        </w:rPr>
        <w:t>年</w:t>
      </w: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宋体"/>
          <w:sz w:val="32"/>
          <w:szCs w:val="32"/>
        </w:rPr>
        <w:t>月</w:t>
      </w:r>
    </w:p>
    <w:p w14:paraId="19E24274">
      <w:pPr>
        <w:rPr>
          <w:rFonts w:hint="eastAsia" w:ascii="黑体" w:hAnsi="黑体" w:eastAsia="黑体" w:cs="宋体"/>
          <w:sz w:val="32"/>
          <w:szCs w:val="32"/>
        </w:rPr>
      </w:pPr>
    </w:p>
    <w:p w14:paraId="5250F170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人员分工</w:t>
      </w:r>
    </w:p>
    <w:p w14:paraId="03027AE1">
      <w:pPr>
        <w:jc w:val="both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866"/>
      </w:tblGrid>
      <w:tr w14:paraId="32C7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61EA5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6866" w:type="dxa"/>
          </w:tcPr>
          <w:p w14:paraId="62FFDB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分工</w:t>
            </w:r>
          </w:p>
        </w:tc>
      </w:tr>
      <w:tr w14:paraId="1D65D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7106C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邢舒扬</w:t>
            </w:r>
          </w:p>
        </w:tc>
        <w:tc>
          <w:tcPr>
            <w:tcW w:w="6866" w:type="dxa"/>
          </w:tcPr>
          <w:p w14:paraId="08EB6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作为组长，统筹安排组内工作；负责撰写问题1,2</w:t>
            </w:r>
          </w:p>
        </w:tc>
      </w:tr>
      <w:tr w14:paraId="4F69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6EE2DC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曾炜博</w:t>
            </w:r>
          </w:p>
        </w:tc>
        <w:tc>
          <w:tcPr>
            <w:tcW w:w="6866" w:type="dxa"/>
          </w:tcPr>
          <w:p w14:paraId="76C19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Word排版；负责撰写问题3,4</w:t>
            </w:r>
          </w:p>
        </w:tc>
      </w:tr>
      <w:tr w14:paraId="4269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2B740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王子尧</w:t>
            </w:r>
          </w:p>
        </w:tc>
        <w:tc>
          <w:tcPr>
            <w:tcW w:w="6866" w:type="dxa"/>
          </w:tcPr>
          <w:p w14:paraId="22077F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文档内容校对；负责撰写问题5</w:t>
            </w:r>
          </w:p>
        </w:tc>
      </w:tr>
      <w:tr w14:paraId="3B2A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656" w:type="dxa"/>
          </w:tcPr>
          <w:p w14:paraId="161B26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王旭辉</w:t>
            </w:r>
          </w:p>
        </w:tc>
        <w:tc>
          <w:tcPr>
            <w:tcW w:w="6866" w:type="dxa"/>
          </w:tcPr>
          <w:p w14:paraId="2CF86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文档内容校对；负责撰写问题6</w:t>
            </w:r>
          </w:p>
        </w:tc>
      </w:tr>
    </w:tbl>
    <w:p w14:paraId="0CF97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75472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39F01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D5B8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B1C0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6555D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4BF98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40C42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35356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0FF5DD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6D017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560D9C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2CE899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2"/>
          <w:lang w:val="en-US" w:eastAsia="zh-CN"/>
        </w:rPr>
      </w:pPr>
      <w:r>
        <w:rPr>
          <w:rFonts w:hint="eastAsia"/>
          <w:b/>
          <w:bCs/>
          <w:sz w:val="28"/>
          <w:szCs w:val="22"/>
          <w:lang w:val="en-US" w:eastAsia="zh-CN"/>
        </w:rPr>
        <w:t>什么是ERP？一般地说，它主要由哪些模块组成？分别对这些模块的功能进行说明。</w:t>
      </w:r>
    </w:p>
    <w:p w14:paraId="43776B78">
      <w:pPr>
        <w:pStyle w:val="4"/>
        <w:keepNext w:val="0"/>
        <w:keepLines w:val="0"/>
        <w:widowControl/>
        <w:suppressLineNumbers w:val="0"/>
      </w:pPr>
      <w:r>
        <w:t>ERP是一种集成化的企业管理信息系统，其核心目标是通过先进的信息技术手段，将企业内部各个部门、各项业务活动及其所涉及的资源——包括人力资源、财务资金、原材料、生产设备、信息流等进行统一整合与协调管理。ERP系统以企业的业务流程为导向，以数据库技术为基础，通过模块化、标准化的软件架构，把原本分散在不同部门、不同系统中的信息资源打通，实现信息的高效共享和业务的无缝协同。</w:t>
      </w:r>
    </w:p>
    <w:p w14:paraId="6AA71B6F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1"/>
          <w:lang w:val="en-US" w:eastAsia="zh-CN"/>
        </w:rPr>
      </w:pPr>
      <w:r>
        <w:rPr>
          <w:rFonts w:hint="eastAsia"/>
          <w:b/>
          <w:bCs/>
          <w:sz w:val="24"/>
          <w:szCs w:val="21"/>
          <w:lang w:val="en-US" w:eastAsia="zh-CN"/>
        </w:rPr>
        <w:t>以下是对ERP主要组成模块的说明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1"/>
        <w:gridCol w:w="5411"/>
      </w:tblGrid>
      <w:tr w14:paraId="57F3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1" w:type="dxa"/>
            <w:vAlign w:val="center"/>
          </w:tcPr>
          <w:p w14:paraId="4CB003B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5411" w:type="dxa"/>
            <w:vAlign w:val="center"/>
          </w:tcPr>
          <w:p w14:paraId="778A94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</w:tr>
      <w:tr w14:paraId="2DD9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31FD1D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财务会计模块</w:t>
            </w:r>
          </w:p>
        </w:tc>
        <w:tc>
          <w:tcPr>
            <w:tcW w:w="5411" w:type="dxa"/>
            <w:vAlign w:val="center"/>
          </w:tcPr>
          <w:p w14:paraId="3DEAF7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实现总账、应收应付、固定资产管理、财务报表自动生成，确保财务数据的规范与统一。</w:t>
            </w:r>
          </w:p>
        </w:tc>
      </w:tr>
      <w:tr w14:paraId="1FE1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40EE11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成本会计模块</w:t>
            </w:r>
          </w:p>
        </w:tc>
        <w:tc>
          <w:tcPr>
            <w:tcW w:w="5411" w:type="dxa"/>
            <w:vAlign w:val="center"/>
          </w:tcPr>
          <w:p w14:paraId="18D27C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跟踪生产和运营成本，进行成本核算、分摊与分析，为决策提供成本依据。</w:t>
            </w:r>
          </w:p>
        </w:tc>
      </w:tr>
      <w:tr w14:paraId="1A6B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36BF3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物料管理模块（MM）</w:t>
            </w:r>
          </w:p>
        </w:tc>
        <w:tc>
          <w:tcPr>
            <w:tcW w:w="5411" w:type="dxa"/>
            <w:vAlign w:val="center"/>
          </w:tcPr>
          <w:p w14:paraId="318B4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管理原材料、备件、库存等，实现采购、入库、出库、库存控制等业务流程。</w:t>
            </w:r>
          </w:p>
        </w:tc>
      </w:tr>
      <w:tr w14:paraId="4785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5DCE73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销售与分销模块（SD）</w:t>
            </w:r>
          </w:p>
        </w:tc>
        <w:tc>
          <w:tcPr>
            <w:tcW w:w="5411" w:type="dxa"/>
            <w:vAlign w:val="center"/>
          </w:tcPr>
          <w:p w14:paraId="30834B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管理销售订单、客户、发货、开票等流程，提升销售响应效率与客户满意度。</w:t>
            </w:r>
          </w:p>
        </w:tc>
      </w:tr>
      <w:tr w14:paraId="2078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01ECA5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生产计划模块（PP）</w:t>
            </w:r>
          </w:p>
        </w:tc>
        <w:tc>
          <w:tcPr>
            <w:tcW w:w="5411" w:type="dxa"/>
            <w:vAlign w:val="center"/>
          </w:tcPr>
          <w:p w14:paraId="6C261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管理生产任务、工单、物料需求计划（MRP），优化产能与库存。</w:t>
            </w:r>
          </w:p>
        </w:tc>
      </w:tr>
      <w:tr w14:paraId="76FD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7426F4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人力资源管理模块（HR）</w:t>
            </w:r>
          </w:p>
        </w:tc>
        <w:tc>
          <w:tcPr>
            <w:tcW w:w="5411" w:type="dxa"/>
            <w:vAlign w:val="center"/>
          </w:tcPr>
          <w:p w14:paraId="272EA6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涵盖组织结构、人事档案、薪酬、绩效、培训等，实现员工生命周期管理。</w:t>
            </w:r>
          </w:p>
        </w:tc>
      </w:tr>
      <w:tr w14:paraId="7AE4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vAlign w:val="center"/>
          </w:tcPr>
          <w:p w14:paraId="0F789E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工厂维护模块（PM）</w:t>
            </w:r>
          </w:p>
        </w:tc>
        <w:tc>
          <w:tcPr>
            <w:tcW w:w="5411" w:type="dxa"/>
            <w:vAlign w:val="center"/>
          </w:tcPr>
          <w:p w14:paraId="151893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8"/>
                <w:szCs w:val="2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计划与执行设备的维护与保养任务，保障生产设备稳定运行。</w:t>
            </w:r>
          </w:p>
        </w:tc>
      </w:tr>
      <w:tr w14:paraId="74CE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  <w:shd w:val="clear" w:color="auto" w:fill="auto"/>
            <w:vAlign w:val="center"/>
          </w:tcPr>
          <w:p w14:paraId="69BE77F2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数据仓库（BW）</w:t>
            </w:r>
          </w:p>
        </w:tc>
        <w:tc>
          <w:tcPr>
            <w:tcW w:w="5411" w:type="dxa"/>
            <w:shd w:val="clear" w:color="auto" w:fill="auto"/>
            <w:vAlign w:val="center"/>
          </w:tcPr>
          <w:p w14:paraId="0A636208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集中存储历史业务数据，支持多维分析与企业级报表生成。</w:t>
            </w:r>
          </w:p>
        </w:tc>
      </w:tr>
    </w:tbl>
    <w:p w14:paraId="1B06E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454A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039DB87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结合本案例，ERP给企业创造的效益可能有哪些？</w:t>
      </w:r>
    </w:p>
    <w:p w14:paraId="0614EB4B">
      <w:pPr>
        <w:pStyle w:val="4"/>
        <w:keepNext w:val="0"/>
        <w:keepLines w:val="0"/>
        <w:widowControl/>
        <w:suppressLineNumbers w:val="0"/>
      </w:pPr>
      <w:r>
        <w:t>厦兴化工通过ERP系统的成功实施，显著提升了企业的管理水平与运营效率，增强了财务控制能力，并为未来的战略发展奠定了坚实的数字化基础</w:t>
      </w:r>
      <w:r>
        <w:rPr>
          <w:rFonts w:hint="eastAsia"/>
          <w:lang w:eastAsia="zh-CN"/>
        </w:rPr>
        <w:t>。</w:t>
      </w:r>
      <w:r>
        <w:t>ERP系统为厦兴化工创造的效益可归纳为以下四个维度：</w:t>
      </w:r>
    </w:p>
    <w:p w14:paraId="48D88E1E">
      <w:pPr>
        <w:pStyle w:val="3"/>
        <w:keepNext w:val="0"/>
        <w:keepLines w:val="0"/>
        <w:widowControl/>
        <w:suppressLineNumbers w:val="0"/>
      </w:pPr>
      <w:r>
        <w:t>1. 管理效益</w:t>
      </w:r>
    </w:p>
    <w:p w14:paraId="70F0D77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首先，ERP系统推动了企业内部管理流程的</w:t>
      </w:r>
      <w:r>
        <w:rPr>
          <w:rStyle w:val="8"/>
          <w:b w:val="0"/>
          <w:bCs w:val="0"/>
        </w:rPr>
        <w:t>标准化与规范化</w:t>
      </w:r>
      <w:r>
        <w:rPr>
          <w:b w:val="0"/>
          <w:bCs w:val="0"/>
        </w:rPr>
        <w:t>。在系统上线前，厦兴化工存在较为明显的流程碎片化和人工干预频繁等问题，尤其是各职能部门之间沟通不畅、信息传递滞后，严重影响了管理效率。ERP系统的引入，使得企业从采购、库存、生产到销售等各业务流程被统一梳理并固化在系统中，业务执行按照系统流程自动化运行，从根本上消除了人为操作带来的不确定性，提升了执行的一致性和规范性。</w:t>
      </w:r>
    </w:p>
    <w:p w14:paraId="2DC0F46E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其次，信息的透明化成为管理层做出科学决策的基础。ERP系统通过集成多源业务数据，提供了统一的数据查询和报表分析平台，管理者可以实时掌握企业各项核心业务指标，及时发现问题并进行调整，大大增强了企业的</w:t>
      </w:r>
      <w:r>
        <w:rPr>
          <w:rStyle w:val="8"/>
          <w:b w:val="0"/>
          <w:bCs w:val="0"/>
        </w:rPr>
        <w:t>数据驱动型决策能力</w:t>
      </w:r>
      <w:r>
        <w:rPr>
          <w:b w:val="0"/>
          <w:bCs w:val="0"/>
        </w:rPr>
        <w:t>。</w:t>
      </w:r>
    </w:p>
    <w:p w14:paraId="703A51B0">
      <w:pPr>
        <w:pStyle w:val="3"/>
        <w:keepNext w:val="0"/>
        <w:keepLines w:val="0"/>
        <w:widowControl/>
        <w:suppressLineNumbers w:val="0"/>
      </w:pPr>
      <w:r>
        <w:t>2. 运营效益</w:t>
      </w:r>
    </w:p>
    <w:p w14:paraId="283D125D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在运营层面，ERP系统带来了明显的效率提升和成本节约：</w:t>
      </w:r>
    </w:p>
    <w:p w14:paraId="699ABCB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一方面，系统自动化处理大量原本依赖人工操作的事务，如单据生成、库存管理、成本核算等，从而大幅减少了人工操作强度和差错率。原本手工处理容易产生的数据重复、失误、遗漏等问题得以系统化解决，提高了企业运行的可靠性与准确性。</w:t>
      </w:r>
    </w:p>
    <w:p w14:paraId="358EDA73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另一方面，ERP系统有效</w:t>
      </w:r>
      <w:r>
        <w:rPr>
          <w:rStyle w:val="8"/>
          <w:b w:val="0"/>
          <w:bCs w:val="0"/>
        </w:rPr>
        <w:t>缩短了业务处理周期</w:t>
      </w:r>
      <w:r>
        <w:rPr>
          <w:b w:val="0"/>
          <w:bCs w:val="0"/>
        </w:rPr>
        <w:t>。例如采购申请、审批和订单生成的周期明显缩短，业务流转效率显著提高。结算周期的加快也表现在多个层面：从采购到入库、从销售到回款的整个流程环环相扣，系统的高效性显著提升了企业的资金和物资周转效率。</w:t>
      </w:r>
    </w:p>
    <w:p w14:paraId="6F93B721">
      <w:pPr>
        <w:pStyle w:val="3"/>
        <w:keepNext w:val="0"/>
        <w:keepLines w:val="0"/>
        <w:widowControl/>
        <w:suppressLineNumbers w:val="0"/>
      </w:pPr>
      <w:r>
        <w:t>3. 财务效益</w:t>
      </w:r>
    </w:p>
    <w:p w14:paraId="2CD18DEA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ERP系统的实施，极大增强了厦兴化工的财务管理能力和资金运作效率：</w:t>
      </w:r>
    </w:p>
    <w:p w14:paraId="7D09CAD8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最直观的成果是</w:t>
      </w:r>
      <w:r>
        <w:rPr>
          <w:rStyle w:val="8"/>
          <w:b w:val="0"/>
          <w:bCs w:val="0"/>
        </w:rPr>
        <w:t>财务结账时间由原先的8天缩短至1~2天</w:t>
      </w:r>
      <w:r>
        <w:rPr>
          <w:b w:val="0"/>
          <w:bCs w:val="0"/>
        </w:rPr>
        <w:t>，显著提高了财务部门的工作效率。这得益于ERP系统将财务信息与各业务流程自动集成，实现了从业务数据自动生成财务凭证的流程自动化，大幅减少了财务人工录入与核对工作。</w:t>
      </w:r>
    </w:p>
    <w:p w14:paraId="28628570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其次，ERP系统构建了完整的</w:t>
      </w:r>
      <w:r>
        <w:rPr>
          <w:rStyle w:val="8"/>
          <w:b w:val="0"/>
          <w:bCs w:val="0"/>
        </w:rPr>
        <w:t>财务控制体系</w:t>
      </w:r>
      <w:r>
        <w:rPr>
          <w:b w:val="0"/>
          <w:bCs w:val="0"/>
        </w:rPr>
        <w:t>，涵盖了事前预算管理、事中过程控制和事后绩效稽核。系统可对各类费用进行预算设置和超预算预警，有效防止资源浪费，并通过过程数据的实时监控实现全流程透明化监管，提升财务合规性与风控能力。</w:t>
      </w:r>
    </w:p>
    <w:p w14:paraId="4CCBF9CC">
      <w:pPr>
        <w:pStyle w:val="3"/>
        <w:keepNext w:val="0"/>
        <w:keepLines w:val="0"/>
        <w:widowControl/>
        <w:suppressLineNumbers w:val="0"/>
      </w:pPr>
      <w:r>
        <w:t>4. 战略效益</w:t>
      </w:r>
    </w:p>
    <w:p w14:paraId="69E2C8E6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ERP项目的成功实施不仅仅带来了短期的管理与运营改进，更在战略层面为厦兴化工的长期发展提供了重要支撑。</w:t>
      </w:r>
    </w:p>
    <w:p w14:paraId="01671EC6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首先，系统打通了原有的“信息孤岛”，形成统一的企业数据平台，为今后</w:t>
      </w:r>
      <w:r>
        <w:rPr>
          <w:rStyle w:val="8"/>
          <w:b w:val="0"/>
          <w:bCs w:val="0"/>
        </w:rPr>
        <w:t>企业级数字化转型</w:t>
      </w:r>
      <w:r>
        <w:rPr>
          <w:b w:val="0"/>
          <w:bCs w:val="0"/>
        </w:rPr>
        <w:t>奠定了基础。ERP系统与原有财务系统、生产系统实现深度集成，初步构建起企业信息化骨架，为后续引入新兴技术如物联网（IoT）、大数据分析、人工智能（AI）等提供了良好的系统兼容性和数据基础。</w:t>
      </w:r>
    </w:p>
    <w:p w14:paraId="1293349D">
      <w:pPr>
        <w:pStyle w:val="4"/>
        <w:keepNext w:val="0"/>
        <w:keepLines w:val="0"/>
        <w:widowControl/>
        <w:suppressLineNumbers w:val="0"/>
        <w:rPr>
          <w:rFonts w:hint="eastAsia"/>
          <w:sz w:val="24"/>
          <w:lang w:val="en-US" w:eastAsia="zh-CN"/>
        </w:rPr>
      </w:pPr>
      <w:r>
        <w:rPr>
          <w:b w:val="0"/>
          <w:bCs w:val="0"/>
        </w:rPr>
        <w:t>其次，信息流、资金流和物流的协同优化，显著提升了企业的</w:t>
      </w:r>
      <w:r>
        <w:rPr>
          <w:rStyle w:val="8"/>
          <w:b w:val="0"/>
          <w:bCs w:val="0"/>
        </w:rPr>
        <w:t>核心竞争力和抗风险能力</w:t>
      </w:r>
      <w:r>
        <w:rPr>
          <w:b w:val="0"/>
          <w:bCs w:val="0"/>
        </w:rPr>
        <w:t>。无论是对外市场响应还是对内成本控制，企业都具备了更强的敏捷性与应变能力，在复杂多变的市场环境中稳中求进。</w:t>
      </w:r>
    </w:p>
    <w:p w14:paraId="5A1FC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三、从PMBOK九个知识领域进行分析，该项目成功的因素有哪些？该项目的主要干系人有哪些？</w:t>
      </w:r>
    </w:p>
    <w:p w14:paraId="3D1C8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 项目整合管理</w:t>
      </w:r>
    </w:p>
    <w:p w14:paraId="0C616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厦兴化工高度重视本次ERP项目的统筹与协调，由公司总经理亲自挂帅成立项目组，统领整体项目推进，确保资源统一调配、决策链条清晰。项目整合管理体现在对项目生命周期全过程的有机协调，从项目启动、计划到执行与收尾，都由专门团队负责组织落实，形成了集成化、系统化的管理机制。</w:t>
      </w:r>
    </w:p>
    <w:p w14:paraId="42063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4FDDD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项目范围管理</w:t>
      </w:r>
    </w:p>
    <w:p w14:paraId="24030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厦兴化工在项目前期即明确了ERP系统的实施范围与阶段划分。项目被分为前期和后期两大阶段：前期涉及财务会计、成本会计、销售与分销、物料管理、生产计划五个核心模块，后期包括人力资源管理、工厂维修管理与数据仓库三个模块。通过明确项目边界，有效控制了范围蔓延风险，确保实施过程中任务目标清晰、资源聚焦。</w:t>
      </w:r>
    </w:p>
    <w:p w14:paraId="300F4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4D620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项目时间管理</w:t>
      </w:r>
    </w:p>
    <w:p w14:paraId="1D5E0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组制定了详尽的时间进度计划，并将整个项目周期分解为多个实施节点。前期阶段用时半年完成五大模块上线，后期模块在2016年5月至8月之间逐步投入运行。通过合理的人力资源配置与并行推进机制，项目组有效缩短了实施周期，确保系统按期上线，未影响企业日常运营。</w:t>
      </w:r>
    </w:p>
    <w:p w14:paraId="4E046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764C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 项目成本管理</w:t>
      </w:r>
    </w:p>
    <w:p w14:paraId="4245C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项目预算控制方面，厦兴化工遵循“高性价比”原则，优先选择成熟度高、兼容性强且拥有众多成功案例的ERP解决方案。在咨询公司选择上，也注重其服务能力和实施经验，确保在成本可控的前提下实现最佳实施效果。</w:t>
      </w:r>
    </w:p>
    <w:p w14:paraId="4264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0232A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项目质量管理</w:t>
      </w:r>
    </w:p>
    <w:p w14:paraId="5FD17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执行过程中，厦兴化工对系统的功能设计、数据准确性、操作界面友好度等方面进行了严格把控。通过用户测试、数据验证、报表审查等一系列手段确保上线系统质量达标。最终的用户验收结果显示，ERP系统在功能覆盖和流程匹配方面均达到预期目标，全面满足企业业务需求。</w:t>
      </w:r>
    </w:p>
    <w:p w14:paraId="2DE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9ABD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6. 项目人力资源管理</w:t>
      </w:r>
    </w:p>
    <w:p w14:paraId="5BFCE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组由IT部门牵头，联合财务、采购、生产、HR等关键业务部门，组建了跨部门的实施小组。各模块负责人明确职责分工，保证了实施过程中的高效协同和快速响应。通过“内部主导、外部支撑”的人力资源配置模式，有效整合了企业内部专业知识与外部实施经验。</w:t>
      </w:r>
    </w:p>
    <w:p w14:paraId="6AA9E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7A2AC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7. 项目沟通管理</w:t>
      </w:r>
    </w:p>
    <w:p w14:paraId="2531C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组与外部顾问公司（神舟顾问）之间保持频繁的沟通机制。定期召开项目会议，实时更新项目进度，及时反馈问题与调整资源。同时也通过培训、宣贯等形式加强内部员工对ERP系统的理解与接受度，增强了项目的组织凝聚力和执行力。</w:t>
      </w:r>
    </w:p>
    <w:p w14:paraId="38193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BC4A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8. 项目风险管理</w:t>
      </w:r>
    </w:p>
    <w:p w14:paraId="7E1A9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厦兴化工在实施过程中识别了多个关键风险点，如数据准备复杂、系统集成困难、人力资源不足等。为此，项目组制定了包括预演测试、数据清洗、阶段性回顾等在内的风险应对策略，在多个模块上线前进行了系统性演练，从而显著降低了实施失败风险。</w:t>
      </w:r>
    </w:p>
    <w:p w14:paraId="1FCA6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492E1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9. 项目采购管理</w:t>
      </w:r>
    </w:p>
    <w:p w14:paraId="6E41E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在采购管理方面，厦兴化工对ERP软件供应商和咨询服务方均采用了严格的遴选标准。优先考虑具有国际视野、行业经验丰富、系统兼容性强、售后服务完善的企业，从源头上确保采购产品与企业业务的深度契合。</w:t>
      </w:r>
    </w:p>
    <w:p w14:paraId="2C8B4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0A3E2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主要干系人分析</w:t>
      </w:r>
    </w:p>
    <w:p w14:paraId="12D3AD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项目发起人：公司总经理，是项目推动的最高领导者，提供决策支持与资源保障。</w:t>
      </w:r>
    </w:p>
    <w:p w14:paraId="12AB292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项目经理：ERP项目负责人，统筹实施进度、协调各方资源，是项目运作的核心枢纽。</w:t>
      </w:r>
    </w:p>
    <w:p w14:paraId="3361D0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项目团队成员：包括来自IT、财务、采购、生产、人力等关键职能部门的骨干人员，负责模块级别的业务梳理与系统测试。</w:t>
      </w:r>
    </w:p>
    <w:p w14:paraId="35FD7D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外部合作方：ERP解决方案供应商、神舟顾问公司等，提供技术支持、项目咨询与系统实施服务。</w:t>
      </w:r>
    </w:p>
    <w:p w14:paraId="06A27E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最终用户：企业各业务部门的日常系统使用人员，他们的反馈决定系统落地效果，也是系统优化的重要参与者。</w:t>
      </w:r>
    </w:p>
    <w:p w14:paraId="4A3BAC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</w:p>
    <w:p w14:paraId="2F6CE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四、未来项目可能还面临什么风险？针对这些风险，采取什么应对措施？</w:t>
      </w:r>
    </w:p>
    <w:p w14:paraId="76076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 技术更新带来的系统淘汰风险</w:t>
      </w:r>
    </w:p>
    <w:p w14:paraId="032B5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现：随着信息技术的不断发展，新兴技术（如人工智能、物联网、大数据等）可能会导致现有系统的功能不足或无法适应新的业务需求。ERP系统在面临技术更新时，可能会遇到与新技术不兼容、无法满足企业未来需求的风险，最终导致系统的淘汰。</w:t>
      </w:r>
    </w:p>
    <w:p w14:paraId="2A160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356E7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对措施：为应对这一风险，厦兴化工需要采取定期的系统升级策略，确保ERP系统能够跟上技术的步伐。通过选择具有开放式架构的ERP系统，确保它具有良好的扩展性和兼容性。这种架构能够与未来的新技术（如大数据分析、AI应用等）无缝对接，从而避免因技术更新而导致的系统淘汰问题。</w:t>
      </w:r>
    </w:p>
    <w:p w14:paraId="4DA2B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46321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数据安全风险</w:t>
      </w:r>
    </w:p>
    <w:p w14:paraId="3C2C6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现：随着信息化程度的提高，企业的数据量大幅增加，尤其是财务、客户、供应商等敏感信息的存储和处理，面临来自网络攻击和内部泄密的风险。数据泄露或被恶意篡改将对企业造成严重影响，甚至可能导致企业声誉损失和法律责任。</w:t>
      </w:r>
    </w:p>
    <w:p w14:paraId="7B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8324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对措施：厦兴化工应强化网络安全体系，采取多层次的安全防护措施，如防火墙、入侵检测系统（IDS）、数据备份与恢复等技术手段来防止外部攻击。此外，内部数据泄露风险可以通过引入数据加密技术、权限分级管理、严格的身份认证机制等来有效规避。</w:t>
      </w:r>
    </w:p>
    <w:p w14:paraId="5F8B7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31CE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用户抗拒变更</w:t>
      </w:r>
    </w:p>
    <w:p w14:paraId="52433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表现：ERP系统的实施往往伴随着业务流程的变革，尤其是对员工日常工作的流程和操作方式带来显著改变。由于传统方式已被习惯，部分员工可能对新系统产生抗拒心理，导致系统无法顺利落地和有效应用。</w:t>
      </w:r>
    </w:p>
    <w:p w14:paraId="387BB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ADA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应对措施：为了缓解用户的抗拒情绪，厦兴化工应加强用户培训，帮助员工充分理解新系统的优势和使用方法。通过分阶段、分层次的培训计划，让不同角色的员工了解自己在新系统中的职责和操作流程。</w:t>
      </w:r>
    </w:p>
    <w:p w14:paraId="73044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49EA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 数据质量风险</w:t>
      </w:r>
    </w:p>
    <w:p w14:paraId="560ED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现：企业ERP系统的决策支持功能依赖于大量的历史数据。如果历史数据存在不准确、不完整或不一致的情况，这将直接影响到系统生成的分析报告和决策支持，甚至可能导致错误决策，从而影响公司的运营和战略目标。</w:t>
      </w:r>
    </w:p>
    <w:p w14:paraId="1A3D8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7C8E6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对措施：为了确保数据质量，厦兴化工应建立完善的数据治理体系，包括数据清洗、数据标准化处理和数据质量监控机制。在系统上线前，对所有历史数据进行严格的审查和清理，消除重复、错误或过时的数据，并确保数据的完整性和一致性。</w:t>
      </w:r>
    </w:p>
    <w:p w14:paraId="75881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3BDD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跨系统集成复杂性</w:t>
      </w:r>
    </w:p>
    <w:p w14:paraId="3FA4D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表现：在企业信息化系统中，ERP系统通常需要与其他核心系统（如制造执行系统MES、仓储管理系统WMS、办公自动化系统OA等）进行数据对接和集成。不同系统之间的数据格式、接口标准和协议差异可能导致集成的复杂性，甚至影响到数据流的畅通和系统的整体效能。</w:t>
      </w:r>
    </w:p>
    <w:p w14:paraId="23E0E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78D0C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对措施：为了应对这一跨系统集成的复杂性，厦兴化工应制定统一的接口标准，确保不同系统间能够兼容并顺利交互数据。在ERP系统的实施过程中，项目组应与其他系统的开发商紧密合作，确保数据接口设计的统一性和规范性。同时，引入中间件平台作为数据交换的中介层，使得不同系统之间可以通过标准化的接口进行数据传递与同步，从而解决跨系统集成的技术难题。</w:t>
      </w:r>
    </w:p>
    <w:p w14:paraId="7580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8783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五、请描述该项目搭建的大数据的环境（硬件设备组成及配置、软件环境的组成等等）建立“示范性</w:t>
      </w:r>
      <w:r>
        <w:rPr>
          <w:rFonts w:ascii="宋体" w:hAnsi="宋体" w:eastAsia="宋体"/>
          <w:b/>
          <w:bCs/>
          <w:sz w:val="28"/>
          <w:szCs w:val="28"/>
        </w:rPr>
        <w:t>AI应用”项目的总体方案和思路。</w:t>
      </w:r>
    </w:p>
    <w:p w14:paraId="3FAB1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 大数据硬件环境搭建</w:t>
      </w:r>
    </w:p>
    <w:p w14:paraId="0BA3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服务器：为了满足企业数据存储和计算需求，选择高可用的计算集群。服务器应配备双路CPU（如Intel Xeon Gold或AMD EPYC系列）以及128GB以上内存，确保系统在处理大量数据和高并发请求时能够保持稳定高效的运行。该配置适用于数据分析、实时数据处理、机器学习等资源密集型任务。</w:t>
      </w:r>
    </w:p>
    <w:p w14:paraId="2C855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13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存储：对于大数据环境，存储系统的可扩展性和可靠性至关重要。推荐使用分布式存储系统（如Ceph或HDFS），它们能够支持海量数据的存储和高效访问，并具有故障容错能力。</w:t>
      </w:r>
    </w:p>
    <w:p w14:paraId="64494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A424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网络：10Gbps以太网互联是必不可少的网络配置，用于支持大数据环境中海量数据的快速传输与处理，特别是当数据需要跨多个计算节点进行同步和共享时。高带宽网络能够有效降低数据传输延迟，提高整体数据处理效率。</w:t>
      </w:r>
    </w:p>
    <w:p w14:paraId="2BF6A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1061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安全设施：数据安全是企业信息化建设中的关键部分。为了防止外部攻击和内部数据泄漏，需要部署防火墙、VPN以及数据丢失防护（DLP）系统。防火墙用于屏蔽潜在的网络攻击，VPN可确保远程访问安全，而DLP系统能够监控和防止敏感数据的外泄，保证企业核心数据的安全性。</w:t>
      </w:r>
    </w:p>
    <w:p w14:paraId="7E462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02F6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软件环境组成</w:t>
      </w:r>
    </w:p>
    <w:p w14:paraId="39EBE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lang w:val="en-US" w:eastAsia="zh-CN"/>
        </w:rPr>
        <w:t>操作系统：Linux是大数据平台的首选操作系统，具备稳定性和高效性，能够支持各种数据处理工具。CentOS或Ubuntu是两种常见且广泛使用的Linux发行版，适合大数据平台的部署。</w:t>
      </w:r>
    </w:p>
    <w:p w14:paraId="366C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2BB8A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平台：推荐使用Hadoop，Hadoop提供了分布式存储与处理能力，Spark则具备高速处理能力。为了实现实时数据流处理，可以结合使用Kafka，它作为流处理平台，能够有效管理和传输大量实时数据，支持企业进行大数据实时分析。</w:t>
      </w:r>
    </w:p>
    <w:p w14:paraId="00E9B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3B272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库：企业应选择支持大规模数据处理的数据库。PostgreSQL作为关系型数据库，可用于存储结构化数据，适合财务、生产等业务模块的数据管理。与此同时，NoSQL数据库能够处理非结构化数据，提供灵活的存储和高速的数据访问，适合大数据环境下的应用。</w:t>
      </w:r>
    </w:p>
    <w:p w14:paraId="505E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3CBF3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可视化工具：使用Tableau、PowerBI等商业智能工具，这些工具不仅支持多种数据来源的接入，还具备强大的图表展示功能，便于数据分析结果的共享和决策支持。若考虑国内替代方案，可以选择国产BI工具。</w:t>
      </w:r>
    </w:p>
    <w:p w14:paraId="2E839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6794D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I平台：为了支持企业未来的AI应用，可以使用TensorFlow、PyTorch等主流深度学习框架，支持大规模数据训练和推理。同时，可以搭建本地化的大型语言模型平台。这些平台能为企业在未来实现AI驱动的智能化管理奠定基础。</w:t>
      </w:r>
    </w:p>
    <w:p w14:paraId="4B843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EC06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AI示范应用项目思路</w:t>
      </w:r>
    </w:p>
    <w:p w14:paraId="55971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厦兴化工的大数据环境和AI平台不仅可以提升企业的运营效率，还能够为管理决策提供强大的支持。以下是一些具体的AI示范应用项目思路：</w:t>
      </w:r>
    </w:p>
    <w:p w14:paraId="6EF6C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智能仓储管理系统（智能WMS）</w:t>
      </w:r>
    </w:p>
    <w:p w14:paraId="282C6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应用方向：仓储管理</w:t>
      </w:r>
    </w:p>
    <w:p w14:paraId="4987D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描述：通过AI技术，结合历史出入库数据和实时仓储状况，智能WMS可以预测仓库的高峰期和低峰期，自动优化库位分配，减少库存积压，并生成自动补货建议。AI还可以基于需求预测和供应链状况进行动态调整，提高库存周转率，降低库存成本，优化仓储资源的使用效率。</w:t>
      </w:r>
    </w:p>
    <w:p w14:paraId="2808F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3C19D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智能人力资源管理系统（智能HR系统）</w:t>
      </w:r>
    </w:p>
    <w:p w14:paraId="467DA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应用方向：员工管理</w:t>
      </w:r>
    </w:p>
    <w:p w14:paraId="0FBE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描述：智能HR系统将通过人脸识别技术进行员工考勤管理，利用自然语言处理技术分析员工的满意度和反馈，构建基于AI的绩效分析模型。此外，AI还可以帮助发现员工潜力，预测员工流失风险，为人力资源管理提供更加精准的决策支持。</w:t>
      </w:r>
    </w:p>
    <w:p w14:paraId="6A8D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</w:p>
    <w:p w14:paraId="57272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六、该项目如何使用现有的大模型技术？描述其应用场景</w:t>
      </w:r>
    </w:p>
    <w:p w14:paraId="6CCB3A9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企业可以在多个业务场景中利用其强大的自然语言处理能力，优化ERP系统的功能，提升工作效率，降低成本。以下是一些结合ERP系统的实际应用场景及其具体描述：</w:t>
      </w:r>
    </w:p>
    <w:p w14:paraId="5394AA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</w:p>
    <w:p w14:paraId="152C16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 智能文档生成</w:t>
      </w:r>
    </w:p>
    <w:p w14:paraId="7AEDE8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应用场景：自动生成各类文档，如报表、合同、操作说明书等。</w:t>
      </w:r>
    </w:p>
    <w:p w14:paraId="0CC902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描述：通过大模型技术，ERP系统可以自动化生成需要的文档，减少人工撰写的时间和错误。例如，系统可以根据销售数据自动生成每月的财务报表或销售报告，自动填写合同模板中的必要字段并进行初步的审核，从而提高文档生成的效率和准确性，减轻行政人员的负担。此外，操作说明书和用户手册等文档也可以通过大模型自动生成和更新，确保其内容始终与系统版本和业务流程一致。</w:t>
      </w:r>
    </w:p>
    <w:p w14:paraId="3CE6AA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</w:p>
    <w:p w14:paraId="16533B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自然语言查询</w:t>
      </w:r>
    </w:p>
    <w:p w14:paraId="182F58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应用场景：业务人员通过自然语言与系统交互，进行数据查询和分析。</w:t>
      </w:r>
    </w:p>
    <w:p w14:paraId="27724A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描述：利用大模型的自然语言处理能力，ERP系统可以让业务人员通过简单的自然语言查询系统中的数据。例如，员工可以输入“我想查某客户最近三个月的销售额”这一类的查询，系统可以直接理解其意图并返回准确的查询结果。这种方式能够极大简化传统的查询过程，不需要复杂的SQL语句或操作界面，提高了员工对ERP系统的使用便利性，提升了工作效率。</w:t>
      </w:r>
    </w:p>
    <w:p w14:paraId="433C0B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</w:p>
    <w:p w14:paraId="4E6E3B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 智能助理</w:t>
      </w:r>
    </w:p>
    <w:p w14:paraId="759BF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应用场景：提供系统操作的培训、指导以及实时建议。</w:t>
      </w:r>
    </w:p>
    <w:p w14:paraId="67BB85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描述：借助大模型，ERP系统可以为员工提供智能助理服务。这些助理可以在员工操作系统时提供实时帮助，包括系统功能的使用方法、常见问题解答和操作建议。例如，当员工不确定如何录入某项数据时，可以向系统询问，系统会提供详细的操作步骤或者自动纠正错误。智能助理不仅可以减少员工学习成本，还能提高新员工的上手速度，降低培训的资源投入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4ED72"/>
    <w:multiLevelType w:val="singleLevel"/>
    <w:tmpl w:val="9924ED7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418A883"/>
    <w:multiLevelType w:val="singleLevel"/>
    <w:tmpl w:val="1418A8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mYzdlODY3YjcyOGIxZWJjNDdiZGU3NGMyNTUwZTAifQ=="/>
  </w:docVars>
  <w:rsids>
    <w:rsidRoot w:val="00172A27"/>
    <w:rsid w:val="01654A58"/>
    <w:rsid w:val="069204BF"/>
    <w:rsid w:val="0D577995"/>
    <w:rsid w:val="189015C1"/>
    <w:rsid w:val="1A285809"/>
    <w:rsid w:val="1DAA5FFF"/>
    <w:rsid w:val="2AEA237C"/>
    <w:rsid w:val="3B3435F2"/>
    <w:rsid w:val="46E75889"/>
    <w:rsid w:val="481F2FAA"/>
    <w:rsid w:val="5DAD4A24"/>
    <w:rsid w:val="654A0AB0"/>
    <w:rsid w:val="71213400"/>
    <w:rsid w:val="714809C3"/>
    <w:rsid w:val="71CC34BB"/>
    <w:rsid w:val="784105F3"/>
    <w:rsid w:val="7AC4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2790</Words>
  <Characters>3054</Characters>
  <Lines>0</Lines>
  <Paragraphs>0</Paragraphs>
  <TotalTime>6</TotalTime>
  <ScaleCrop>false</ScaleCrop>
  <LinksUpToDate>false</LinksUpToDate>
  <CharactersWithSpaces>3091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2023-12-17T10:41:00Z</dcterms:created>
  <dc:creator>ynkmx</dc:creator>
  <cp:lastModifiedBy>Shuyang Xing</cp:lastModifiedBy>
  <dcterms:modified xsi:type="dcterms:W3CDTF">2025-05-06T07:50:00Z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79CA931F540F425C86AD9ACAF27BF2AA_12</vt:lpwstr>
  </property>
  <property fmtid="{D5CDD505-2E9C-101B-9397-08002B2CF9AE}" pid="4" name="KSOTemplateDocerSaveRecord">
    <vt:lpwstr>eyJoZGlkIjoiYTllMWVkMDJhOGZiNzQxMGI0NDMzZGRhMmM0NWFmYTYiLCJ1c2VySWQiOiIyODUwMTQwNjUifQ==</vt:lpwstr>
  </property>
</Properties>
</file>