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4931B">
      <w:pPr>
        <w:jc w:val="center"/>
        <w:rPr>
          <w:rFonts w:hint="eastAsia" w:ascii="宋体" w:hAnsi="宋体" w:eastAsia="宋体" w:cs="宋体"/>
          <w:b/>
          <w:bCs/>
          <w:sz w:val="36"/>
          <w:szCs w:val="40"/>
        </w:rPr>
      </w:pPr>
      <w: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  <w:t xml:space="preserve">软件项目管理 </w:t>
      </w:r>
      <w:r>
        <w:rPr>
          <w:rFonts w:hint="eastAsia" w:ascii="宋体" w:hAnsi="宋体" w:eastAsia="宋体" w:cs="宋体"/>
          <w:b/>
          <w:bCs/>
          <w:sz w:val="36"/>
          <w:szCs w:val="40"/>
        </w:rPr>
        <w:t>实验</w:t>
      </w:r>
      <w: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  <w:t>六</w:t>
      </w:r>
      <w:r>
        <w:rPr>
          <w:rFonts w:hint="eastAsia" w:ascii="宋体" w:hAnsi="宋体" w:eastAsia="宋体" w:cs="宋体"/>
          <w:b/>
          <w:bCs/>
          <w:sz w:val="36"/>
          <w:szCs w:val="40"/>
        </w:rPr>
        <w:t xml:space="preserve"> </w:t>
      </w:r>
    </w:p>
    <w:p w14:paraId="4772F6EC">
      <w:pPr>
        <w:jc w:val="center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邢舒扬37220222203807</w:t>
      </w:r>
    </w:p>
    <w:p w14:paraId="0655A313">
      <w:pPr>
        <w:rPr>
          <w:rFonts w:hint="eastAsia"/>
        </w:rPr>
      </w:pPr>
    </w:p>
    <w:p w14:paraId="6200C619">
      <w:pPr>
        <w:numPr>
          <w:ilvl w:val="0"/>
          <w:numId w:val="1"/>
        </w:num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合理和准确计算各项成本，说明清楚每项成本的统计结果。</w:t>
      </w:r>
    </w:p>
    <w:tbl>
      <w:tblPr>
        <w:tblStyle w:val="6"/>
        <w:tblW w:w="0" w:type="auto"/>
        <w:tblCellSpacing w:w="15" w:type="dxa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1"/>
        <w:gridCol w:w="1482"/>
        <w:gridCol w:w="4529"/>
        <w:gridCol w:w="1454"/>
      </w:tblGrid>
      <w:tr w14:paraId="5D5F2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70C19D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76E970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成本类别</w:t>
            </w:r>
          </w:p>
        </w:tc>
        <w:tc>
          <w:tcPr>
            <w:tcW w:w="4499" w:type="dxa"/>
            <w:shd w:val="clear" w:color="auto" w:fill="auto"/>
            <w:vAlign w:val="center"/>
          </w:tcPr>
          <w:p w14:paraId="3B29E2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具体项目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1F75BE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金额（万元）</w:t>
            </w:r>
          </w:p>
        </w:tc>
      </w:tr>
      <w:tr w14:paraId="576E3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25477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58757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硬件成本</w:t>
            </w:r>
          </w:p>
        </w:tc>
        <w:tc>
          <w:tcPr>
            <w:tcW w:w="4499" w:type="dxa"/>
            <w:shd w:val="clear" w:color="auto" w:fill="auto"/>
            <w:vAlign w:val="center"/>
          </w:tcPr>
          <w:p w14:paraId="5401B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3台服务器（8万元/台）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3FA1B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</w:tr>
      <w:tr w14:paraId="5F1A6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4F177E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4B73CD2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6C3E8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1套存储设备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384D4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28C41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61A36E6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231845E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77E49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2台交换机（3万元/台）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3C6C7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395AD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5834C2F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308A0B4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32AA1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1台防火墙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7E56B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5A95F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17660E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557E0FF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5E668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50台办公终端（0.5万元/台）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278B9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</w:tr>
      <w:tr w14:paraId="1911E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1D855A3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66D96F1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78157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其他网络设备（路由器、UPS等）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7508D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67B78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378B3DF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1355597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14AC1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硬件成本合计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5A98C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</w:tr>
      <w:tr w14:paraId="41BD4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36FEB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50E7C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软件成本</w:t>
            </w:r>
          </w:p>
        </w:tc>
        <w:tc>
          <w:tcPr>
            <w:tcW w:w="4499" w:type="dxa"/>
            <w:shd w:val="clear" w:color="auto" w:fill="auto"/>
            <w:vAlign w:val="center"/>
          </w:tcPr>
          <w:p w14:paraId="3F0C7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OA系统软件购置/开发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13A83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  <w:tr w14:paraId="07FA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625FC49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44968F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34273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业务系统接口开发（5个，每个2万元）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2FC14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56038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29F4157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2447FD6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20A69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数据库软件购置（Oracle/SQL Server）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2353B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0DACD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71710C0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41B1764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35B3C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1年维护费用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525AD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7FEA5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1B6CFD9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498BC4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67D25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软件成本合计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71057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</w:tr>
      <w:tr w14:paraId="36FE1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28EE7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23C33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人力成本</w:t>
            </w:r>
          </w:p>
        </w:tc>
        <w:tc>
          <w:tcPr>
            <w:tcW w:w="4499" w:type="dxa"/>
            <w:shd w:val="clear" w:color="auto" w:fill="auto"/>
            <w:vAlign w:val="center"/>
          </w:tcPr>
          <w:p w14:paraId="58E93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外部实施顾问（2人 × 8万/月 × 3个月）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63ADB6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</w:tr>
      <w:tr w14:paraId="7A699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10C0686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3F0ACBA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726A3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软件开发工程师（4人 × 5万/月 × 4个月）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2FEB21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</w:tr>
      <w:tr w14:paraId="507D4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154C5E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2804AF9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0405D6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测试工程师（2人 × 4万/月 × 3个月）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1AA5E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</w:tr>
      <w:tr w14:paraId="47D7C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2F40E8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6C1EBD7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4B4C0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项目经理（1人 × 10万/月 × 4个月）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09B1D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4448D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74CDB5D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039462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0723E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业务分析师（2人 × 6万/月 × 3个月）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39E33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</w:tr>
      <w:tr w14:paraId="249D6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347E70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311797F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7AC84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质量顾问（高校教授，2个月）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3768A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</w:tr>
      <w:tr w14:paraId="1B61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622B11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4234D3F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1AA1C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人力成本合计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03F47F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252</w:t>
            </w:r>
          </w:p>
        </w:tc>
      </w:tr>
      <w:tr w14:paraId="37A9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79647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693652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设备折旧费用</w:t>
            </w:r>
          </w:p>
        </w:tc>
        <w:tc>
          <w:tcPr>
            <w:tcW w:w="4499" w:type="dxa"/>
            <w:shd w:val="clear" w:color="auto" w:fill="auto"/>
            <w:vAlign w:val="center"/>
          </w:tcPr>
          <w:p w14:paraId="3FE87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开发人员使用的电脑折旧（5台 × 1.5万元 ÷ 5年）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7606A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</w:tr>
      <w:tr w14:paraId="62687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6CC01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2581B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咨询专家和培训费用</w:t>
            </w:r>
          </w:p>
        </w:tc>
        <w:tc>
          <w:tcPr>
            <w:tcW w:w="4499" w:type="dxa"/>
            <w:shd w:val="clear" w:color="auto" w:fill="auto"/>
            <w:vAlign w:val="center"/>
          </w:tcPr>
          <w:p w14:paraId="1E9FC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专家咨询费用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518ED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56A50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0E88792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0CBDCC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1B1A2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技术培训费用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17B0A5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D318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5CF5507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4FA8992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462FB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咨询专家和培训费用合计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193B8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</w:tr>
      <w:tr w14:paraId="6796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6A267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42E06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技术引进或外包费用</w:t>
            </w:r>
          </w:p>
        </w:tc>
        <w:tc>
          <w:tcPr>
            <w:tcW w:w="4499" w:type="dxa"/>
            <w:shd w:val="clear" w:color="auto" w:fill="auto"/>
            <w:vAlign w:val="center"/>
          </w:tcPr>
          <w:p w14:paraId="1E130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部分功能外包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340D9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69331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03665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18F52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差旅费用</w:t>
            </w:r>
          </w:p>
        </w:tc>
        <w:tc>
          <w:tcPr>
            <w:tcW w:w="4499" w:type="dxa"/>
            <w:shd w:val="clear" w:color="auto" w:fill="auto"/>
            <w:vAlign w:val="center"/>
          </w:tcPr>
          <w:p w14:paraId="17220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3人次 × 1.2万元/人次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416E7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3.6</w:t>
            </w:r>
          </w:p>
        </w:tc>
      </w:tr>
      <w:tr w14:paraId="7074F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36E48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0C2FF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销售和广告费用</w:t>
            </w:r>
          </w:p>
        </w:tc>
        <w:tc>
          <w:tcPr>
            <w:tcW w:w="4499" w:type="dxa"/>
            <w:shd w:val="clear" w:color="auto" w:fill="auto"/>
            <w:vAlign w:val="center"/>
          </w:tcPr>
          <w:p w14:paraId="56EBF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介绍费用和佣金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3E5B2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30C94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3CDDCC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65861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开发人员培训费用</w:t>
            </w:r>
          </w:p>
        </w:tc>
        <w:tc>
          <w:tcPr>
            <w:tcW w:w="4499" w:type="dxa"/>
            <w:shd w:val="clear" w:color="auto" w:fill="auto"/>
            <w:vAlign w:val="center"/>
          </w:tcPr>
          <w:p w14:paraId="5C19F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5人 × 6500元/人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4C807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3.25</w:t>
            </w:r>
          </w:p>
        </w:tc>
      </w:tr>
      <w:tr w14:paraId="1946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6A8E2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050D5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知识产权与合规成本</w:t>
            </w:r>
          </w:p>
        </w:tc>
        <w:tc>
          <w:tcPr>
            <w:tcW w:w="4499" w:type="dxa"/>
            <w:shd w:val="clear" w:color="auto" w:fill="auto"/>
            <w:vAlign w:val="center"/>
          </w:tcPr>
          <w:p w14:paraId="1562F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科技成果奖申报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7047C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523CC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1DA0712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7CAF99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7D85F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软件著作权申请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05F5C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4942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4859592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03F4B4C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3AF48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实用新型专利申请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1071C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82E3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4CB544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0AA2AE5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058B2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知识产权与合规成本合计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6C788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</w:tr>
      <w:tr w14:paraId="41C55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67291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4469F6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管理费用</w:t>
            </w:r>
          </w:p>
        </w:tc>
        <w:tc>
          <w:tcPr>
            <w:tcW w:w="4499" w:type="dxa"/>
            <w:shd w:val="clear" w:color="auto" w:fill="auto"/>
            <w:vAlign w:val="center"/>
          </w:tcPr>
          <w:p w14:paraId="477B3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去年管理费用30万，今年按10%增长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1C24D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</w:tr>
      <w:tr w14:paraId="6EF36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548E8F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316FBB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56061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去年广告费用10万，今年相同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1C4DF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3F7D0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2DB3F2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52" w:type="dxa"/>
            <w:shd w:val="clear" w:color="auto" w:fill="auto"/>
            <w:vAlign w:val="center"/>
          </w:tcPr>
          <w:p w14:paraId="4BA9FE9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5BBE7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管理费用合计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55A07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</w:t>
            </w:r>
          </w:p>
        </w:tc>
      </w:tr>
      <w:tr w14:paraId="44903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6" w:type="dxa"/>
            <w:shd w:val="clear" w:color="auto" w:fill="auto"/>
            <w:vAlign w:val="center"/>
          </w:tcPr>
          <w:p w14:paraId="6C965CA9">
            <w:pPr>
              <w:rPr>
                <w:rFonts w:hint="eastAsia" w:ascii="宋体" w:eastAsia="宋体"/>
                <w:b/>
                <w:bCs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/>
                <w:b/>
                <w:bCs/>
                <w:sz w:val="24"/>
                <w:szCs w:val="24"/>
                <w:highlight w:val="yellow"/>
                <w:lang w:val="en-US" w:eastAsia="zh-CN"/>
              </w:rPr>
              <w:t>总成本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60A9AC05">
            <w:pPr>
              <w:rPr>
                <w:rFonts w:hint="eastAsia" w:ascii="宋体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99" w:type="dxa"/>
            <w:shd w:val="clear" w:color="auto" w:fill="auto"/>
            <w:vAlign w:val="center"/>
          </w:tcPr>
          <w:p w14:paraId="49908A2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 w14:paraId="2F0FF4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</w:rPr>
              <w:t>485.35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yellow"/>
                <w:lang w:val="en-US" w:eastAsia="zh-CN"/>
              </w:rPr>
              <w:t>万元</w:t>
            </w:r>
          </w:p>
        </w:tc>
      </w:tr>
    </w:tbl>
    <w:p w14:paraId="6B5CD4AA">
      <w:pPr>
        <w:numPr>
          <w:ilvl w:val="0"/>
          <w:numId w:val="0"/>
        </w:numPr>
        <w:ind w:leftChars="0"/>
        <w:rPr>
          <w:rFonts w:hint="default"/>
          <w:sz w:val="24"/>
          <w:szCs w:val="32"/>
          <w:highlight w:val="none"/>
          <w:lang w:val="en-US" w:eastAsia="zh-CN"/>
        </w:rPr>
      </w:pPr>
    </w:p>
    <w:p w14:paraId="16CBF78A">
      <w:pPr>
        <w:numPr>
          <w:ilvl w:val="0"/>
          <w:numId w:val="0"/>
        </w:numPr>
        <w:ind w:leftChars="0"/>
        <w:rPr>
          <w:rFonts w:hint="default"/>
          <w:sz w:val="24"/>
          <w:szCs w:val="32"/>
          <w:highlight w:val="none"/>
          <w:lang w:val="en-US" w:eastAsia="zh-CN"/>
        </w:rPr>
      </w:pPr>
    </w:p>
    <w:p w14:paraId="7FA4A42C">
      <w:pPr>
        <w:numPr>
          <w:ilvl w:val="0"/>
          <w:numId w:val="1"/>
        </w:numPr>
        <w:rPr>
          <w:sz w:val="28"/>
          <w:szCs w:val="28"/>
        </w:rPr>
      </w:pPr>
      <w:r>
        <w:rPr>
          <w:rFonts w:hint="default" w:eastAsiaTheme="minorEastAsia"/>
          <w:b/>
          <w:bCs/>
          <w:sz w:val="28"/>
          <w:szCs w:val="28"/>
          <w:lang w:val="en-US" w:eastAsia="zh-CN"/>
        </w:rPr>
        <w:t>根据上个实验估算成本值,进行成本的预算</w:t>
      </w:r>
    </w:p>
    <w:tbl>
      <w:tblPr>
        <w:tblStyle w:val="6"/>
        <w:tblW w:w="0" w:type="auto"/>
        <w:tblCellSpacing w:w="15" w:type="dxa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3"/>
        <w:gridCol w:w="5294"/>
        <w:gridCol w:w="1374"/>
      </w:tblGrid>
      <w:tr w14:paraId="53E78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1287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1DA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710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分摊成本（万元）</w:t>
            </w:r>
          </w:p>
        </w:tc>
      </w:tr>
      <w:tr w14:paraId="660B6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D57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A. 系统评估与采购申请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D4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销售费用（5万） - 人力与管理费用按时间分摊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13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  <w:tr w14:paraId="3058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277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B. 系统环境的构建与培训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3B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软件许可（5万） - 硬件采购（80万） - 开发培训（3.25万） - 部分人力成本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88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</w:t>
            </w:r>
          </w:p>
        </w:tc>
      </w:tr>
      <w:tr w14:paraId="35F7A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C6D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C. 系统流程分析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D4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主要涉及人力成本和部分管理费用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1C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1BC0A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A59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D. 系统实现与编码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8C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主要涉及软件开发人力成本、管理费用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47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</w:tr>
      <w:tr w14:paraId="77CDC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881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E. 系统测试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3A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主要涉及测试团队的人力成本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93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</w:tr>
      <w:tr w14:paraId="113E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283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F. 上线准备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57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主要涉及实施支持成本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26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0FB8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524B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G. 维护与优化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7A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知识产权相关费用（13万） - 运营与培训成本（28万）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A8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</w:tr>
      <w:tr w14:paraId="6109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F9B2F9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5015A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所有阶段总预算成本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B2A7E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485</w:t>
            </w:r>
          </w:p>
        </w:tc>
      </w:tr>
    </w:tbl>
    <w:p w14:paraId="3978C394">
      <w:pPr>
        <w:pStyle w:val="11"/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49E03779">
      <w:pPr>
        <w:pStyle w:val="11"/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1E7412D2">
      <w:pPr>
        <w:pStyle w:val="11"/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5FE86238">
      <w:pPr>
        <w:pStyle w:val="11"/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5A2B6BAC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质量管理案例分析</w:t>
      </w:r>
    </w:p>
    <w:p w14:paraId="65179B53">
      <w:pPr>
        <w:pStyle w:val="11"/>
        <w:spacing w:line="360" w:lineRule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问题1：</w:t>
      </w:r>
    </w:p>
    <w:p w14:paraId="6B709EC6">
      <w:pPr>
        <w:pStyle w:val="11"/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从软件工程生命周期来看，提高设计质量的关键在于需求分析、架构设计、详细设计这三个阶段。张工可以采取以下措施：</w:t>
      </w:r>
    </w:p>
    <w:p w14:paraId="6C7C0ECE">
      <w:pPr>
        <w:pStyle w:val="11"/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深入需求分析：详细梳理企业标准和部门编码的问题，确保新系统支持组织结构调整，并考虑数据迁移方案，减少数据不一致的风险。</w:t>
      </w:r>
    </w:p>
    <w:p w14:paraId="0AE3757A">
      <w:pPr>
        <w:pStyle w:val="11"/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模块化架构设计：采用 解耦 设计，避免硬编码，使用 配置化、规则引擎或数据库驱动的方式 处理部门关系和业务逻辑，提高可维护性。</w:t>
      </w:r>
    </w:p>
    <w:p w14:paraId="3FE6E3AF">
      <w:pPr>
        <w:pStyle w:val="11"/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数据管理策略：引入 数据版本管理 机制，保留历史业务数据，确保变更不会影响旧数据的正确性。</w:t>
      </w:r>
    </w:p>
    <w:p w14:paraId="2CB97389">
      <w:pPr>
        <w:pStyle w:val="11"/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可扩展性设计：采用 面向服务（SOA）或微服务架构，提高系统适应未来组织调整的能力。</w:t>
      </w:r>
    </w:p>
    <w:p w14:paraId="4FFF5FF7">
      <w:pPr>
        <w:pStyle w:val="11"/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评审与验证：在详细设计阶段，引入 同行评审、原型验证 和 概念验证（PoC），提前发现设计缺陷，降低后期修改成本。在开发初期进行自动化测试框架搭建，确保核心业务逻辑可回归验证。</w:t>
      </w:r>
    </w:p>
    <w:p w14:paraId="7457CAF0">
      <w:pPr>
        <w:pStyle w:val="11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问题2：</w:t>
      </w:r>
    </w:p>
    <w:p w14:paraId="7ABC2DF3">
      <w:pPr>
        <w:pStyle w:val="11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从项目管理角度，提高活动质量需要 计划、执行、监控 并行推进，具体措施如下：</w:t>
      </w:r>
    </w:p>
    <w:p w14:paraId="25A35007">
      <w:pPr>
        <w:pStyle w:val="11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质量计划：在项目启动阶段，制定质量管理计划，定义</w:t>
      </w:r>
      <w:bookmarkStart w:id="0" w:name="_GoBack"/>
      <w:bookmarkEnd w:id="0"/>
      <w:r>
        <w:rPr>
          <w:rFonts w:hint="default"/>
          <w:sz w:val="24"/>
          <w:szCs w:val="24"/>
          <w:lang w:val="en-US" w:eastAsia="zh-CN"/>
        </w:rPr>
        <w:t>关键质量指标（KPI），确保需求、设计和实施符合标准。</w:t>
      </w:r>
    </w:p>
    <w:p w14:paraId="41276B14">
      <w:pPr>
        <w:pStyle w:val="11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质量保证：在设计和开发阶段，采用代码审查、自动化测试、静态分析工具 等方式，确保代码质量。</w:t>
      </w:r>
    </w:p>
    <w:p w14:paraId="343AD121">
      <w:pPr>
        <w:pStyle w:val="11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质量控制：在每个关键阶段（需求、设计、开发、测试）进行 质量评审，发现问题并及时调整。建立 问题跟踪机制，使用 JIRA/Redmine 等工具进行缺陷管理，确保问题及时修复。</w:t>
      </w:r>
    </w:p>
    <w:p w14:paraId="006A66A2">
      <w:pPr>
        <w:pStyle w:val="11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风险管理：建立变更控制流程，确保部门编码调整不会影响业务，采用回归测试确保系统稳定性。设立回滚策略，确保系统在发生问题时可以快速恢复。</w:t>
      </w:r>
    </w:p>
    <w:p w14:paraId="4CE9CACC">
      <w:pPr>
        <w:pStyle w:val="11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持续改进：项目结束后，进行 项目复盘，总结经验并优化后续流程，提升整体质量管理水平。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Linux Biolinum Shadow"/>
    <w:panose1 w:val="02040503050203030202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2092B1"/>
    <w:multiLevelType w:val="singleLevel"/>
    <w:tmpl w:val="FD2092B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FEFEBD80"/>
    <w:multiLevelType w:val="singleLevel"/>
    <w:tmpl w:val="FEFEBD80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2">
    <w:nsid w:val="1AE3161B"/>
    <w:multiLevelType w:val="singleLevel"/>
    <w:tmpl w:val="1AE3161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MWVkMDJhOGZiNzQxMGI0NDMzZGRhMmM0NWFmYTYifQ=="/>
  </w:docVars>
  <w:rsids>
    <w:rsidRoot w:val="63517BD9"/>
    <w:rsid w:val="058C18C8"/>
    <w:rsid w:val="0D192846"/>
    <w:rsid w:val="10DC31C4"/>
    <w:rsid w:val="1C881008"/>
    <w:rsid w:val="2DD816B7"/>
    <w:rsid w:val="3FB635A0"/>
    <w:rsid w:val="44FA005E"/>
    <w:rsid w:val="477117E8"/>
    <w:rsid w:val="4C422CC3"/>
    <w:rsid w:val="4DCE1F8B"/>
    <w:rsid w:val="55746578"/>
    <w:rsid w:val="5D5B5B0E"/>
    <w:rsid w:val="62600B75"/>
    <w:rsid w:val="63517BD9"/>
    <w:rsid w:val="647B3D4D"/>
    <w:rsid w:val="65837C89"/>
    <w:rsid w:val="6A1C3BD7"/>
    <w:rsid w:val="7396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Hyperlink"/>
    <w:basedOn w:val="7"/>
    <w:autoRedefine/>
    <w:qFormat/>
    <w:uiPriority w:val="0"/>
    <w:rPr>
      <w:color w:val="0000FF"/>
      <w:u w:val="single"/>
    </w:rPr>
  </w:style>
  <w:style w:type="paragraph" w:customStyle="1" w:styleId="10">
    <w:name w:val=".."/>
    <w:basedOn w:val="11"/>
    <w:next w:val="11"/>
    <w:autoRedefine/>
    <w:qFormat/>
    <w:uiPriority w:val="0"/>
    <w:rPr>
      <w:rFonts w:cs="Mangal"/>
      <w:color w:val="auto"/>
    </w:rPr>
  </w:style>
  <w:style w:type="paragraph" w:customStyle="1" w:styleId="11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1368</Words>
  <Characters>1480</Characters>
  <Lines>0</Lines>
  <Paragraphs>0</Paragraphs>
  <TotalTime>1</TotalTime>
  <ScaleCrop>false</ScaleCrop>
  <LinksUpToDate>false</LinksUpToDate>
  <CharactersWithSpaces>1558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2025-02-21T08:33:00Z</dcterms:created>
  <dc:creator>邢舒扬</dc:creator>
  <cp:lastModifiedBy>Shuyang Xing</cp:lastModifiedBy>
  <dcterms:modified xsi:type="dcterms:W3CDTF">2025-04-04T16:14:55Z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F760E7E68E034083B50085A4B5096ECD_11</vt:lpwstr>
  </property>
  <property fmtid="{D5CDD505-2E9C-101B-9397-08002B2CF9AE}" pid="4" name="KSOTemplateDocerSaveRecord">
    <vt:lpwstr>eyJoZGlkIjoiYTllMWVkMDJhOGZiNzQxMGI0NDMzZGRhMmM0NWFmYTYiLCJ1c2VySWQiOiIyODUwMTQwNjUifQ==</vt:lpwstr>
  </property>
</Properties>
</file>