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0"/>
          <w:szCs w:val="48"/>
        </w:rPr>
      </w:pPr>
      <w:r>
        <w:rPr>
          <w:rFonts w:hint="eastAsia" w:ascii="黑体" w:hAnsi="黑体" w:eastAsia="黑体"/>
          <w:sz w:val="40"/>
          <w:szCs w:val="48"/>
        </w:rPr>
        <w:t>《</w:t>
      </w:r>
      <w:r>
        <w:rPr>
          <w:rFonts w:ascii="黑体" w:hAnsi="黑体" w:eastAsia="黑体"/>
          <w:sz w:val="40"/>
          <w:szCs w:val="48"/>
        </w:rPr>
        <w:t xml:space="preserve"> PCM脉冲编码调制实验 </w:t>
      </w:r>
      <w:r>
        <w:rPr>
          <w:rFonts w:hint="eastAsia" w:ascii="黑体" w:hAnsi="黑体" w:eastAsia="黑体"/>
          <w:sz w:val="40"/>
          <w:szCs w:val="48"/>
        </w:rPr>
        <w:t>》实验报告</w:t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ind w:firstLine="2520" w:firstLineChars="900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班级：</w:t>
      </w:r>
      <w:r>
        <w:rPr>
          <w:rFonts w:hint="eastAsia"/>
          <w:sz w:val="28"/>
          <w:szCs w:val="36"/>
          <w:u w:val="single"/>
        </w:rPr>
        <w:t xml:space="preserve"> </w:t>
      </w:r>
      <w:r>
        <w:rPr>
          <w:sz w:val="28"/>
          <w:szCs w:val="36"/>
          <w:u w:val="single"/>
        </w:rPr>
        <w:t xml:space="preserve"> </w:t>
      </w:r>
      <w:r>
        <w:rPr>
          <w:rFonts w:hint="eastAsia"/>
          <w:sz w:val="28"/>
          <w:szCs w:val="36"/>
          <w:u w:val="single"/>
        </w:rPr>
        <w:t>电子二班</w:t>
      </w:r>
      <w:r>
        <w:rPr>
          <w:sz w:val="28"/>
          <w:szCs w:val="36"/>
          <w:u w:val="single"/>
        </w:rPr>
        <w:t xml:space="preserve">          </w:t>
      </w:r>
    </w:p>
    <w:p>
      <w:pPr>
        <w:ind w:firstLine="2520" w:firstLineChars="900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学号：</w:t>
      </w:r>
      <w:r>
        <w:rPr>
          <w:rFonts w:hint="eastAsia"/>
          <w:sz w:val="28"/>
          <w:szCs w:val="36"/>
          <w:u w:val="single"/>
        </w:rPr>
        <w:t xml:space="preserve"> </w:t>
      </w:r>
      <w:r>
        <w:rPr>
          <w:sz w:val="28"/>
          <w:szCs w:val="36"/>
          <w:u w:val="single"/>
        </w:rPr>
        <w:t xml:space="preserve"> B201904032</w:t>
      </w:r>
      <w:r>
        <w:rPr>
          <w:rFonts w:hint="eastAsia"/>
          <w:sz w:val="28"/>
          <w:szCs w:val="36"/>
          <w:u w:val="single"/>
          <w:lang w:val="en-US" w:eastAsia="zh-CN"/>
        </w:rPr>
        <w:t>13</w:t>
      </w:r>
      <w:r>
        <w:rPr>
          <w:sz w:val="28"/>
          <w:szCs w:val="36"/>
          <w:u w:val="single"/>
        </w:rPr>
        <w:t xml:space="preserve">     </w:t>
      </w:r>
    </w:p>
    <w:p>
      <w:pPr>
        <w:ind w:firstLine="2520" w:firstLineChars="900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姓名：</w:t>
      </w:r>
      <w:r>
        <w:rPr>
          <w:rFonts w:hint="eastAsia"/>
          <w:sz w:val="28"/>
          <w:szCs w:val="36"/>
          <w:lang w:val="en-US" w:eastAsia="zh-CN"/>
        </w:rPr>
        <w:t>唐祁林</w:t>
      </w:r>
      <w:r>
        <w:rPr>
          <w:sz w:val="28"/>
          <w:szCs w:val="36"/>
          <w:u w:val="single"/>
        </w:rPr>
        <w:t xml:space="preserve">            </w:t>
      </w:r>
    </w:p>
    <w:p>
      <w:pPr>
        <w:ind w:firstLine="2520" w:firstLineChars="900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jc w:val="left"/>
        <w:rPr>
          <w:sz w:val="28"/>
          <w:szCs w:val="36"/>
          <w:u w:val="single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一、实验目的: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1.掌握抽样的原理、方法和不失真抽样的条件: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2.掌握量化的原理和方法: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3.掌握PCM的原理和方法。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二、实验原理与方法: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.模拟信号的抽样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抽样是把时间上连续的模拟信号变成- -系列时间上离散的抽样值的过程。能否由此样值序列重建原信号是抽样定理要回答的问题。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低通抽样定理:对于一个带限模拟信号f(),假设其频带为[0,f]若以抽样频率f,22fu对其进行抽样的话(抽样间隔T,≤1/f, ),则f()将被其抽样信号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p,()=(nT))完全确定。或者说，可从样值信号y,()= (C(nT )中无失真地恢复出原信号f().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设带限信号为f(),其频谱为F(@):抽样脉冲序列为一周期信号冲击串8,()，频讲为8 (@);样值信号y.()的频谱为Y,(@).则有: y,()=f()-8()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抽样过程: .f0一*8→y,()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从抽样定理中可知，抽样信号必须是冲击信号。而理想的冲击信号是无法得到的，因此，在实际应用中，大多采用窄脉冲序列代替冲击信号。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带通抽样定理:一个带通信号f()具有带宽B和最高频率fg,如果抽样频率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fs =(2fm )/m,m是-一个不超过fn/B的最大整数，那么f()可以用抽样值x(nTs)表示。这里有两种情况: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①fn=2B，此时f。/B=n是整数，m=n， 所以fs=2B: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(②2fn =nB+kB(0&lt;k&lt;1l),此时fn/B=n+k,显然m≠n,所以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当f。很大时，f。近视地为2B.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2.均匀量化.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先规定的有限个电平来表示模拟抽样值的过程称为量化。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在均匀量化方式中，除第-一个和最后一个区域，其他的所有的区域都是等长的，即:R,=(_∞，a, Rz=(a, a+0), Rs=(a+0, a+20). ... Ru=(a+(N-2)A. +∞)。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每一-级都有一个重建电平，即落在该区城中的不同值都会被量化为同一-值，通常每个量化间隔重建电平也都取均匀分布的值。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3.对數化及A律PCM编码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对数量化为非线性量化的一种，它是国际通用的标准，实现非线性量化的方法是将原信号进行一次非线性变换，再对变换后的信号进行均匀量化，同时结合了编码，最后在接收端进行一次逆变换得到原始信号。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(1)国际标准的A律对数特性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国际标准的A律PCM编码的对数压缩特性如下: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这里要求输入的信号必须进行归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化处理。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(2)A律的13折线近似法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由于实现上的困难，国际上使用13折线法来近似A律PCM,其方法是将输入信号幅度归一化，范围为(-1, 1)， 将其分为不均匀的16段区间，正负方向相同，在此仪对正数范围(0, 1) 进行介绍。划分方法是:取0 -1/128 为第一区间，取1/128- -1/64 为第二区问。取1/64- -1/32 为第三区间，一直的取1/2- -1 为第八区间。输出信号则均匀的划分为8个区问: 1/8- -2/8 为第一区间，-. 7/8- -1为第八区间。将点(1/128. 1/8) 与(0. 0)相连，将点(1/64, 2/8) 与(1/128, 1/8) 相连，.-这样得到由8段直线连成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事实上由于第一区间与二区间的直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</w:t>
      </w:r>
      <w:r>
        <w:rPr>
          <w:rFonts w:ascii="宋体" w:hAnsi="宋体" w:eastAsia="宋体" w:cs="宋体"/>
          <w:sz w:val="24"/>
          <w:szCs w:val="24"/>
        </w:rPr>
        <w:t>只有7条直线)。此折线与A=87.6的对数压缩特性曲线相近。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(3)量化值的编码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在量化以后得到的是可以进行线性量化的值。A律PCM编码表如下表所示。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73880" cy="2849880"/>
            <wp:effectExtent l="0" t="0" r="0" b="0"/>
            <wp:docPr id="1" name="图片 1" descr="QQ图片2021050723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5072343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实验结果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(1)时钟为64KHZ,频率为2KHZ的同步正弦波及PCM编码数据波形:用8KHZ的矩形窄脉冲测出-帧8bi的PCM编码数据: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2196465"/>
            <wp:effectExtent l="0" t="0" r="1905" b="13335"/>
            <wp:docPr id="2" name="图片 2" descr="QQ图片20210507235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5072350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 时钟为128KHZ,频率为2KHZ的同步正弦波及PCM编码数据波形:用8KHZ的矩形窄脉冲测出一帧两路的PCM编码数据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2158365"/>
            <wp:effectExtent l="0" t="0" r="1270" b="5715"/>
            <wp:docPr id="3" name="图片 3" descr="QQ图片2021050723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5072350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10536A"/>
    <w:multiLevelType w:val="singleLevel"/>
    <w:tmpl w:val="BC10536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D009E"/>
    <w:rsid w:val="233A106E"/>
    <w:rsid w:val="554A0B10"/>
    <w:rsid w:val="5D9A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2021-05-07T15:31:00Z</dcterms:created>
  <dc:creator>Shinelon</dc:creator>
  <cp:lastModifiedBy>Shinelon</cp:lastModifiedBy>
  <dcterms:modified xsi:type="dcterms:W3CDTF">2021-05-07T15:54:15Z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