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SafeConf 第一批模型决策结果</w:t>
      </w:r>
    </w:p>
    <w:p>
      <w:r>
        <w:rPr>
          <w:b/>
        </w:rPr>
        <w:t>日期：2026-09-28｜已完成结果｜开发实验，非独立确认</w:t>
      </w:r>
    </w:p>
    <w:p>
      <w:pPr>
        <w:pStyle w:val="Heading1"/>
      </w:pPr>
      <w:r>
        <w:t>1. 已经做完什么、现在的判断</w:t>
      </w:r>
    </w:p>
    <w:p>
      <w:r>
        <w:t xml:space="preserve">第一批已完整结束：7 个数据组、3 个相关上游基线、552 个去重任务、1656 条预测记录、63 个外层比较单元。主比较共 945 次小模型拟合，另有 252 次幅度基础回归（含内部交叉拟合），得到 1071 行评价；训练用时约 </w:t>
      </w:r>
      <w:r>
        <w:rPr>
          <w:b/>
        </w:rPr>
        <w:t>3 分 56 秒</w:t>
      </w:r>
      <w:r>
        <w:t>。CPU 运行 Ridge/树，现有 cu124 环境在一张 RTX 6000 上运行小 MLP。</w:t>
      </w:r>
      <w:r>
        <w:rPr>
          <w:b/>
        </w:rPr>
        <w:t>批次结束已停止，没有追加第二批、重训上游或扩大网络。</w:t>
      </w:r>
    </w:p>
    <w:p>
      <w:r>
        <w:t>事前协议提交：</w:t>
      </w:r>
      <w:r>
        <w:rPr>
          <w:rFonts w:ascii="DejaVu Sans Mono" w:hAnsi="DejaVu Sans Mono"/>
          <w:sz w:val="18"/>
        </w:rPr>
        <w:t>eea1bfc</w:t>
      </w:r>
      <w:r>
        <w:t xml:space="preserve">。输入、标签、分组、模型配置、种子和调参预算没有按中途结果改变。运行中仅更正文字事实：旧目录存在，缺的是部分运行脚本/独立审计清单。详见 </w:t>
      </w:r>
      <w:hyperlink r:id="rId11">
        <w:r>
          <w:rPr>
            <w:color w:val="216C97"/>
          </w:rPr>
          <w:t>模型决策</w:t>
        </w:r>
      </w:hyperlink>
      <w:r>
        <w:t xml:space="preserve"> 与 </w:t>
      </w:r>
      <w:hyperlink r:id="rId12">
        <w:r>
          <w:rPr>
            <w:color w:val="216C97"/>
          </w:rPr>
          <w:t>运行状态</w:t>
        </w:r>
      </w:hyperlink>
      <w:r>
        <w:t>。</w:t>
      </w:r>
    </w:p>
    <w:p>
      <w:r>
        <w:t>我的判断是：</w:t>
      </w:r>
      <w:r>
        <w:rPr>
          <w:b/>
        </w:rPr>
        <w:t>可以继续做冻结上游模型的下游风险方法。当前最明确的信号来自历史支持/相关程度；公共历史内容的增量很不均匀。显式幅度锚定和更复杂网络都没有成为必需结构。</w:t>
      </w:r>
    </w:p>
    <w:p>
      <w:r>
        <w:t>这支持继续构造计算方法，但还不支持宣布统一 SafeConf 已完成，或已经达到二区/CCF-B 的录用水平。当前已有方法证据和实验资产足以组织开题；最终论文还需要成熟上游、来源闭合和独立确认。</w:t>
      </w:r>
    </w:p>
    <w:p>
      <w:pPr>
        <w:pStyle w:val="Heading1"/>
      </w:pPr>
      <w:r>
        <w:t>2. 三个 upstream predictor 到底是什么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</w:tcPr>
          <w:p>
            <w:r>
              <w:rPr>
                <w:b/>
                <w:sz w:val="18"/>
              </w:rPr>
              <w:t>上游预测器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实际规则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输出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本轮角色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PertMeanPredictor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原始上游训练库内，同扰动的真实效应取平均；无同扰动时用全局平均。生成 train 预测时排除自身任务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按基因排列的平均表达变化向量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均值转移基线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ContextSimBaseline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优先取同扰动、其他背景的历史效应；按对照状态余弦相似度 softmax 加权；没有来源时回退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同样的基因效应向量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背景相似性转移基线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V0StrongBaseline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有目标背景时，</w:t>
            </w:r>
            <w:r>
              <w:rPr>
                <w:rFonts w:ascii="DejaVu Sans Mono" w:hAnsi="DejaVu Sans Mono"/>
                <w:sz w:val="18"/>
              </w:rPr>
              <w:t>0.85 × 同扰动平均效应 + 0.15 × 该背景平均效应</w:t>
            </w:r>
            <w:r>
              <w:rPr>
                <w:sz w:val="18"/>
              </w:rPr>
              <w:t>；缺失项用相应回退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同样的基因效应向量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固定混合基线</w:t>
            </w:r>
          </w:p>
        </w:tc>
      </w:tr>
    </w:tbl>
    <w:p/>
    <w:p>
      <w:r>
        <w:t>它们共享相近的历史转移机制；名称含 Strong 不等于已经证明强于现代上游。</w:t>
      </w:r>
      <w:r>
        <w:rPr>
          <w:b/>
        </w:rPr>
        <w:t>这三者不是 GEARS、scGPT、CPA，也不是三种基础大模型。</w:t>
      </w:r>
      <w:r>
        <w:t xml:space="preserve"> 本轮学习的是这些预测的任务级 RMSE 风险。已有 GEARS/CPA/TxPert 等旧结果未在本轮重新训练，也未在未对齐输出空间时直接合并。</w:t>
      </w:r>
    </w:p>
    <w:p>
      <w:r>
        <w:t>源码：</w:t>
      </w:r>
      <w:hyperlink r:id="rId13">
        <w:r>
          <w:rPr>
            <w:color w:val="216C97"/>
          </w:rPr>
          <w:t>两种原始基线</w:t>
        </w:r>
      </w:hyperlink>
      <w:r>
        <w:t>、</w:t>
      </w:r>
      <w:hyperlink r:id="rId14">
        <w:r>
          <w:rPr>
            <w:color w:val="216C97"/>
          </w:rPr>
          <w:t>PertMean 及表生成</w:t>
        </w:r>
      </w:hyperlink>
      <w:r>
        <w:t>。</w:t>
      </w:r>
    </w:p>
    <w:p>
      <w:pPr>
        <w:pStyle w:val="Heading1"/>
      </w:pPr>
      <w:r>
        <w:t>3. 552 个任务如何分布，它们是不是全部论文数据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</w:tcPr>
          <w:p>
            <w:r>
              <w:rPr>
                <w:b/>
                <w:sz w:val="18"/>
              </w:rPr>
              <w:t>数据组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去重任务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每种上游记录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三上游合计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Cui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基因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450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Frangieh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基因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228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Lara ex vivo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基因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114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Lara in vivo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基因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138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Santinha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基因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102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McFarland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化学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420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sciPlex3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化学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204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基因 344 / 化学 208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552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552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1656</w:t>
            </w:r>
          </w:p>
        </w:tc>
      </w:tr>
    </w:tbl>
    <w:p/>
    <w:p>
      <w:r>
        <w:t>552 是不同任务键的数量，不代表 552 个独立同分布观测：同一扰动、背景与研究内存在相关性；同一任务的三种预测不能算三次独立生物实验。两个 Lara 分组也不能当两项完全独立研究。</w:t>
      </w:r>
    </w:p>
    <w:p>
      <w:r>
        <w:t>这是当前避开已定位的原始 train 回流问题的开发子集，</w:t>
      </w:r>
      <w:r>
        <w:rPr>
          <w:b/>
        </w:rPr>
        <w:t>不是未来论文总数据量，也不是已完成全流程血缘认证的最终干净测试集</w:t>
      </w:r>
      <w:r>
        <w:t>。逐行旧产物与原始模型状态仍需核实。每个数据组/上游单独三折按扰动分组，fit 为 22–100 条，eval 为 11–50 条。外层任务、扰动均无交集，三上游使用相同任务折。未把它写成上游从没见过该扰动；上游训练库可以存在同扰动的其他背景。</w:t>
      </w:r>
    </w:p>
    <w:p>
      <w:pPr>
        <w:pStyle w:val="Heading1"/>
      </w:pPr>
      <w:r>
        <w:t>4. 相同输入下，幅度锚定有没有必要</w:t>
      </w:r>
    </w:p>
    <w:p>
      <w:r>
        <w:t>U20 表示：按风险最高的 20% 任务优先复核时，获得多少经完美排序归一化的收益。随机排序期望为 0，完美排序为 1；</w:t>
      </w:r>
      <w:r>
        <w:rPr>
          <w:b/>
        </w:rPr>
        <w:t>0.8091 不是 80.91% 预测准确率，也不是发表概率</w:t>
      </w:r>
      <w:r>
        <w:t>。</w:t>
      </w:r>
    </w:p>
    <w:p>
      <w:r>
        <w:t>下表都先折平均，再预测器平均，再数据组等权；不按细胞数或表格行数加权。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</w:tcPr>
          <w:p>
            <w:r>
              <w:rPr>
                <w:b/>
                <w:sz w:val="18"/>
              </w:rPr>
              <w:t>风险模型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总体 U20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基因 U20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化学 U20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原始幅度直接排序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0.4759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0.4670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0.4980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仅幅度的非负线性基础风险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0.4398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0.4670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0.3718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直接 Ridge，P+Q+H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0.8091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0.8552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0.6938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幅度锚定残差 Ridge，同样 P+Q+H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0.7740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0.8413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0.6057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直接梯度提升树，同样 P+Q+H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0.7577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0.8047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0.6402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幅度锚定残差树，同样 P+Q+H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0.7739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0.8273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0.6404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直接小 MLP，同样 P+Q+H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0.7053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0.7873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0.5004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幅度锚定残差 MLP，同样 P+Q+H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0.6710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0.7395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0.4997</w:t>
            </w:r>
          </w:p>
        </w:tc>
      </w:tr>
    </w:tbl>
    <w:p/>
    <w:p>
      <w:r>
        <w:t xml:space="preserve">同信息锚定的配对增量：Ridge </w:t>
      </w:r>
      <w:r>
        <w:rPr>
          <w:b/>
        </w:rPr>
        <w:t>−0.0351</w:t>
      </w:r>
      <w:r>
        <w:t xml:space="preserve">、树 </w:t>
      </w:r>
      <w:r>
        <w:rPr>
          <w:b/>
        </w:rPr>
        <w:t>+0.0162</w:t>
      </w:r>
      <w:r>
        <w:t xml:space="preserve">、MLP </w:t>
      </w:r>
      <w:r>
        <w:rPr>
          <w:b/>
        </w:rPr>
        <w:t>−0.0343</w:t>
      </w:r>
      <w:r>
        <w:t>。树有 4/7 数据组正向，Ridge 没有正向组（按数值容差，6 负、1 平），MLP 2/7 正向。</w:t>
      </w:r>
    </w:p>
    <w:p>
      <w:r>
        <w:t>因此这批不支持“幅度必须是一个冻结残差分支”。幅度应继续作为核心基线和显式可见输入；</w:t>
      </w:r>
      <w:r>
        <w:rPr>
          <w:b/>
        </w:rPr>
        <w:t>它信号强，不等于先拟合再相加的结构必然优于直接学习</w:t>
      </w:r>
      <w:r>
        <w:t>。基础风险也未必优于原始幅度排序：有限样本中的零斜率或折间估计会造成退化。</w:t>
      </w:r>
    </w:p>
    <w:p>
      <w:pPr>
        <w:pStyle w:val="Heading1"/>
      </w:pPr>
      <w:r>
        <w:t>5. 历史支持与历史内容各增加多少</w:t>
      </w:r>
    </w:p>
    <w:p>
      <w:r>
        <w:t>本轮使用三个信息源中的前两个：</w:t>
      </w:r>
    </w:p>
    <w:p>
      <w:pPr>
        <w:pStyle w:val="ListBullet"/>
      </w:pPr>
      <w:r>
        <w:t>当前预测 P：幅度、绝对均值、两种预测间分歧，4 项。</w:t>
      </w:r>
    </w:p>
    <w:p>
      <w:pPr>
        <w:pStyle w:val="ListBullet"/>
      </w:pPr>
      <w:r>
        <w:t>公共历史 Q：背景相似度最大/均值、同扰动支持背景数，3 项；反映相关程度和覆盖，缺少完整细胞数与重复质量。</w:t>
      </w:r>
    </w:p>
    <w:p>
      <w:pPr>
        <w:pStyle w:val="ListBullet"/>
      </w:pPr>
      <w:r>
        <w:t>公共历史 H：历史参考幅度比较 2 项、跨背景真实效应稳定性/方差 2 项、固定历史均值转移残差 1 项，共 5 项。Q 与 H 同属公共实验历史。</w:t>
      </w:r>
    </w:p>
    <w:p>
      <w:pPr>
        <w:pStyle w:val="ListBullet"/>
      </w:pPr>
      <w:r>
        <w:t>模型错误记忆 E：本轮未训练，来源资格未通过，不能把它的增量填成零或用旧 E 代理替代。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</w:tcPr>
          <w:p>
            <w:r>
              <w:rPr>
                <w:b/>
                <w:sz w:val="18"/>
              </w:rPr>
              <w:t>同算法逐步加信息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Ridge ΔU20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树 ΔU20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小 MLP ΔU20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学习 M → 纯 P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+0.0967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+0.1854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+0.0968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 → P+Q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+0.2362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+0.1657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+0.1931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P+Q → P+Q+H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+0.0527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+0.0299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−0.0172</w:t>
            </w:r>
          </w:p>
        </w:tc>
      </w:tr>
    </w:tbl>
    <w:p/>
    <w:p>
      <w:r>
        <w:t xml:space="preserve">第一行使用各算法自己的 M-only 学习器，不能误读为都比“原始幅度排序”增加同样多。相对原始幅度，直接 P 的增量分别为 Ridge +0.0444、树 +0.0863、MLP +0.0536。完整表见 </w:t>
      </w:r>
      <w:hyperlink r:id="rId15">
        <w:r>
          <w:rPr>
            <w:color w:val="216C97"/>
          </w:rPr>
          <w:t>RESULT_TABLE.md</w:t>
        </w:r>
      </w:hyperlink>
      <w:r>
        <w:t>。</w:t>
      </w:r>
    </w:p>
    <w:p>
      <w:r>
        <w:rPr>
          <w:b/>
        </w:rPr>
        <w:t>Q 的方向较一致：三种算法各有 6/7 数据组正向。</w:t>
      </w:r>
      <w:r>
        <w:t xml:space="preserve"> 但这只能称“支持/相关程度代理有效”，不能直接称测量质量因果效应。</w:t>
      </w:r>
    </w:p>
    <w:p>
      <w:r>
        <w:rPr>
          <w:b/>
        </w:rPr>
        <w:t>H 的总体均值掩盖很强异质性：</w:t>
      </w:r>
    </w:p>
    <w:p>
      <w:pPr>
        <w:pStyle w:val="ListBullet"/>
      </w:pPr>
      <w:r>
        <w:t xml:space="preserve">Ridge 的基因平均增量 </w:t>
      </w:r>
      <w:r>
        <w:rPr>
          <w:b/>
        </w:rPr>
        <w:t>−0.0080</w:t>
      </w:r>
      <w:r>
        <w:t xml:space="preserve">，化学平均 </w:t>
      </w:r>
      <w:r>
        <w:rPr>
          <w:b/>
        </w:rPr>
        <w:t>+0.2044</w:t>
      </w:r>
      <w:r>
        <w:t>。</w:t>
      </w:r>
    </w:p>
    <w:p>
      <w:pPr>
        <w:pStyle w:val="ListBullet"/>
      </w:pPr>
      <w:r>
        <w:t xml:space="preserve">主要正增量来自 McFarland（Ridge </w:t>
      </w:r>
      <w:r>
        <w:rPr>
          <w:b/>
        </w:rPr>
        <w:t>+0.4423</w:t>
      </w:r>
      <w:r>
        <w:t xml:space="preserve">）；另一化学组 sciPlex3 为 </w:t>
      </w:r>
      <w:r>
        <w:rPr>
          <w:b/>
        </w:rPr>
        <w:t>−0.0335</w:t>
      </w:r>
      <w:r>
        <w:t>。</w:t>
      </w:r>
    </w:p>
    <w:p>
      <w:pPr>
        <w:pStyle w:val="ListBullet"/>
      </w:pPr>
      <w:r>
        <w:t xml:space="preserve">仅作描述，剔除 McFarland 后其余六组 Ridge 平均为 </w:t>
      </w:r>
      <w:r>
        <w:rPr>
          <w:b/>
        </w:rPr>
        <w:t>−0.0123</w:t>
      </w:r>
      <w:r>
        <w:t>。主结果始终保留全部七组；不能据此挑选数据。</w:t>
      </w:r>
    </w:p>
    <w:p>
      <w:pPr>
        <w:pStyle w:val="ListBullet"/>
      </w:pPr>
      <w:r>
        <w:t>Ridge 和树的 H 都只有 3/7 数据组正向。因此既不能宣布“公共历史普遍有效”，也不能宣布“公共历史无用”。</w:t>
      </w:r>
    </w:p>
    <w:p>
      <w:r>
        <w:t>尤其要注意：H 还不是我们最终想要的公共历史表达。两个历史幅度字段与 M 存在确定性关系；标准化后的幅度比在同一源 fold 内可以成为 M 的重复缩放，加入 Ridge 还可能改变有效正则强度。旧稳定性/方差又混合生物异质性与测量误差。</w:t>
      </w:r>
      <w:r>
        <w:rPr>
          <w:b/>
        </w:rPr>
        <w:t>本批 H 增量不能直接解释为独立生物历史内容增量。</w:t>
      </w:r>
      <w:r>
        <w:t xml:space="preserve"> 这正是下一阶段必须先重新定义字段的原因。</w:t>
      </w:r>
    </w:p>
    <w:p>
      <w:pPr>
        <w:pStyle w:val="Heading2"/>
      </w:pPr>
      <w:r>
        <w:t>后续应怎样定义干净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r>
              <w:rPr>
                <w:b/>
                <w:sz w:val="18"/>
              </w:rPr>
              <w:t>信息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应包含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应避免混入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当前预测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固定基因空间中的预测 RMS、形状、稀疏度、可获得的分歧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历史真实幅度归一化、当前真实响应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公共历史质量/支持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来源数、细胞数、重复数、相容背景/条件覆盖、split-half/重复一致性与缺失标记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把效应方向相似或方差全部解释成技术质量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公共历史真实内容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来源实验真实效应方向、强度、通路变化、预测与来源效应的差异；另标历史尺度参考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当前任务 treated truth；任意上游自己的错误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模型错误记忆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同一冻结模型对既有未训练任务的误差/交叉拟合剩余误差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生物历史均值转移误差冒充某模型反馈</w:t>
            </w:r>
          </w:p>
        </w:tc>
      </w:tr>
    </w:tbl>
    <w:p/>
    <w:p>
      <w:r>
        <w:t>公共历史内容可进一步区分“历史尺度参考”和“生物响应内容”，二者仍是同一个信息源的子类。先去重复、补完整 Q，再估计 H 的条件增量，才有资格决定它在最终模型中的作用。此处是字段设计与后续建议，本轮没有重构原始矩阵或追加训练。</w:t>
      </w:r>
    </w:p>
    <w:p>
      <w:r>
        <w:drawing>
          <wp:inline xmlns:a="http://schemas.openxmlformats.org/drawingml/2006/main" xmlns:pic="http://schemas.openxmlformats.org/drawingml/2006/picture">
            <wp:extent cx="5976000" cy="239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9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固定模型比较与历史内容分组增量</w:t>
      </w:r>
    </w:p>
    <w:p>
      <w:pPr>
        <w:pStyle w:val="Heading1"/>
      </w:pPr>
      <w:r>
        <w:t>6. Ridge、树、小 MLP 哪个更稳定；第一版究竟选什么</w:t>
      </w:r>
    </w:p>
    <w:p>
      <w:r>
        <w:t>同 P+Q+H 条件下，Ridge 总体比树 +0.0514、比 MLP +0.1038，两个比较各有 5/7 数据组正向。63 个折/预测器比较单元中，Ridge 对树为 24 正/23 负/16 平，对 MLP 为 25 正/10 负/28 平；这些单元相关，不能作为独立样本做显著性宣传。</w:t>
      </w:r>
    </w:p>
    <w:p>
      <w:r>
        <w:t>本批只有一个固定随机种子和配置，</w:t>
      </w:r>
      <w:r>
        <w:rPr>
          <w:b/>
        </w:rPr>
        <w:t>没有证明训练随机性稳定或全调参空间最优</w:t>
      </w:r>
      <w:r>
        <w:t>。我们能说的是：当前很小的样本下，增加非线性容量没有带来一致收益，Ridge 的总体结果更好。</w:t>
      </w:r>
    </w:p>
    <w:p>
      <w:pPr>
        <w:pStyle w:val="ListBullet"/>
      </w:pPr>
      <w:r>
        <w:rPr>
          <w:b/>
        </w:rPr>
        <w:t>当前开发参考实现：直接 Ridge，P+Q+H，24 维输入（12 值+12 缺失标记）、25 个系数/截距参数。</w:t>
      </w:r>
      <w:r>
        <w:t xml:space="preserve"> 它是本批参考成绩，不是最终 SafeConf 定型。</w:t>
      </w:r>
    </w:p>
    <w:p>
      <w:pPr>
        <w:pStyle w:val="ListBullet"/>
      </w:pPr>
      <w:r>
        <w:t>P+Q 的 Ridge（14 维输入、15 参数）必须保留为强而简单的对照，因基因线路加旧 H 后平均退化。不能事后按哪种类型胜出就部署两套，而不再验证这种选择规则。</w:t>
      </w:r>
    </w:p>
    <w:p>
      <w:pPr>
        <w:pStyle w:val="ListBullet"/>
      </w:pPr>
      <w:r>
        <w:t>小 MLP 为 24→16→8→1、545 参数；锚定版连同基础风险 547 参数。当前没有证据要求十万参数、Transformer 或复杂门控。</w:t>
      </w:r>
    </w:p>
    <w:p>
      <w:pPr>
        <w:pStyle w:val="ListBullet"/>
      </w:pPr>
      <w:r>
        <w:t>显式锚定继续保留为方法假设/负结果，不写成已验证创新。若最终统一模型成立，应由跨数据、跨成熟上游的冻结验证支持。</w:t>
      </w:r>
    </w:p>
    <w:p>
      <w:r>
        <w:t>论文真正可研究的对象是“哪些历史能在控制当前预测和支持后改进风险，何时应退回简单预测信息”；残差分支只是其中一种可被否定的实现。</w:t>
      </w:r>
      <w:r>
        <w:rPr>
          <w:b/>
        </w:rPr>
        <w:t>单独的 Ridge 第一名不等于已经贡献了一篇新的计算方法论文。</w:t>
      </w:r>
    </w:p>
    <w:p>
      <w:pPr>
        <w:pStyle w:val="Heading1"/>
      </w:pPr>
      <w:r>
        <w:t>7. 哪些旧结果或说法需要撤回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r>
              <w:rPr>
                <w:b/>
                <w:sz w:val="18"/>
              </w:rPr>
              <w:t>旧结果/解释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本轮处置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不应扩大解释为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E273/E274 的新风险折完全未见，因此上游也未见任务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撤回。源表 train 被上游用于拟合；重切风险折没有撤销该使用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所有历史实验全无价值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E273 的六项 P 完全不含公共历史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撤回。幅度比/偏离使用了历史真实效应尺度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预测向量自身不能做风险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旧 train 行的 H/E 是正式无泄漏泛化证据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不可继续用于这个主张。全局历史统计可能包含该 train 任务，自身标签排除也未证明上游 OOF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已观察的数值被修改或删除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E274 E=0 等于零目标模型错误标签；曲线说明只更新记忆即可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撤回。每档仍用全部 fit 标签重训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记忆机制已被证明无效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7 个数据组都是基因扰动或七项独立研究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纠正为 5 个基因分组、2 个化学分组，Lara 两分支相关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基因+化学覆盖不存在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E201 幅度很强；E258/E259 完整 Q 后旧 H 弱化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本轮没有推翻这些结论，保留原证据级别与负结果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新 552 子集替代全部正式研究</w:t>
            </w:r>
          </w:p>
        </w:tc>
      </w:tr>
    </w:tbl>
    <w:p/>
    <w:p>
      <w:r>
        <w:t>应撤回的是“正式无泄漏泛化”“完全预测侧”“合法反馈”等不成立解释；原始文件、参数、旧分数和失败门继续保留供审计。不应拿本批 0.8091 与旧 0.7413/0.7493 相减：来源、样本、特征分类、标签目标和汇总方式已经不同。</w:t>
      </w:r>
    </w:p>
    <w:p>
      <w:pPr>
        <w:pStyle w:val="Heading1"/>
      </w:pPr>
      <w:r>
        <w:t>8. 3668 个任务最多能恢复多少</w:t>
      </w:r>
    </w:p>
    <w:p>
      <w:r>
        <w:t xml:space="preserve">只读取 </w:t>
      </w:r>
      <w:r>
        <w:rPr>
          <w:rFonts w:ascii="DejaVu Sans Mono" w:hAnsi="DejaVu Sans Mono"/>
          <w:sz w:val="18"/>
        </w:rPr>
        <w:t>dataset/task_key/predictor/fold/split</w:t>
      </w:r>
      <w:r>
        <w:t xml:space="preserve"> 元数据，未读取其他折的标签或表达，也没有重新生成预测。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</w:tcPr>
          <w:p>
            <w:r>
              <w:rPr>
                <w:b/>
                <w:sz w:val="18"/>
              </w:rPr>
              <w:t>数据组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当前任务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所有折 val 去重候选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可新增 val 候选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包含其他折 test 角色的理论候选上限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Cui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493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343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1002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Frangieh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231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507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Lara ex vivo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259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Lara in vivo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301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McFarland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456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316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930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Santinha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218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sciPlex3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905"/>
          </w:tcPr>
          <w:p>
            <w:r>
              <w:rPr>
                <w:sz w:val="18"/>
              </w:rPr>
              <w:t>451</w:t>
            </w:r>
          </w:p>
        </w:tc>
      </w:tr>
      <w:tr>
        <w:tc>
          <w:tcPr>
            <w:tcW w:type="dxa" w:w="1905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552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1764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1212</w:t>
            </w:r>
          </w:p>
        </w:tc>
        <w:tc>
          <w:tcPr>
            <w:tcW w:type="dxa" w:w="1905"/>
          </w:tcPr>
          <w:p>
            <w:r>
              <w:rPr>
                <w:b/>
                <w:sz w:val="18"/>
              </w:rPr>
              <w:t>3668</w:t>
            </w:r>
          </w:p>
        </w:tc>
      </w:tr>
    </w:tbl>
    <w:p/>
    <w:p>
      <w:r>
        <w:t>因此：</w:t>
      </w:r>
    </w:p>
    <w:p>
      <w:pPr>
        <w:pStyle w:val="ListNumber"/>
      </w:pPr>
      <w:r>
        <w:rPr>
          <w:b/>
        </w:rPr>
        <w:t>优先恢复空间是 1764 个任务，其中比本批多 1212 个。</w:t>
      </w:r>
      <w:r>
        <w:t xml:space="preserve"> 它们已经有 val 角色记录，可优先核对现有产物，无需先重训大模型。</w:t>
      </w:r>
    </w:p>
    <w:p>
      <w:pPr>
        <w:pStyle w:val="ListNumber"/>
      </w:pPr>
      <w:r>
        <w:t xml:space="preserve">在这 3668 个任务范围内，元数据层面每个任务在某个折都有 held-out 角色；另外 </w:t>
      </w:r>
      <w:r>
        <w:rPr>
          <w:b/>
        </w:rPr>
        <w:t>1904 个</w:t>
      </w:r>
      <w:r>
        <w:t>只在 test 角色中补齐。</w:t>
      </w:r>
      <w:r>
        <w:rPr>
          <w:b/>
        </w:rPr>
        <w:t>3668 是候选上限，不是已恢复合法数量。</w:t>
      </w:r>
      <w:r>
        <w:t xml:space="preserve"> 看到 test 元数据不等于允许使用封存真值；已经公开的旧测试材料也不能再称未见最终确认集。</w:t>
      </w:r>
    </w:p>
    <w:p>
      <w:pPr>
        <w:pStyle w:val="ListNumber"/>
      </w:pPr>
      <w:r>
        <w:t>不同原始折对应不同上游训练集合/模型状态，不能全拼成一个冻结模型的 Error Memory。应保留模型版本和原始折，并在风险切分中对同任务、同扰动及相关研究隔离。其他折模型可能训练过当前目标任务，也需按用途审计。</w:t>
      </w:r>
    </w:p>
    <w:p>
      <w:pPr>
        <w:pStyle w:val="ListNumber"/>
      </w:pPr>
      <w:r>
        <w:t>当前本轮额外确认的</w:t>
      </w:r>
      <w:r>
        <w:rPr>
          <w:b/>
        </w:rPr>
        <w:t>正式合法任务仍为 0</w:t>
      </w:r>
      <w:r>
        <w:t>；1764/3668 是待审计候选。公开旧表最多能扩开发集，不能靠重新命名变成新的独立确认集。</w:t>
      </w:r>
    </w:p>
    <w:p>
      <w:pPr>
        <w:pStyle w:val="ListNumber"/>
      </w:pPr>
      <w:r>
        <w:t>如果状态血缘无法恢复，才考虑用已有任务级效应缓存重建小基线 OOF；是否需要重训 GEARS/CPA 取决于它们实际的训练日志与预测产物。本轮没有启动。</w:t>
      </w:r>
    </w:p>
    <w:p>
      <w:r>
        <w:t xml:space="preserve">计数见 </w:t>
      </w:r>
      <w:hyperlink r:id="rId17">
        <w:r>
          <w:rPr>
            <w:color w:val="216C97"/>
          </w:rPr>
          <w:t>RECOVERABLE_TASKS.csv</w:t>
        </w:r>
      </w:hyperlink>
      <w:r>
        <w:t>、</w:t>
      </w:r>
      <w:hyperlink r:id="rId18">
        <w:r>
          <w:rPr>
            <w:color w:val="216C97"/>
          </w:rPr>
          <w:t>RECOVERY_STATUS.json</w:t>
        </w:r>
      </w:hyperlink>
      <w:r>
        <w:t>；候选任务键已另存压缩表，不包含误差标签。</w:t>
      </w:r>
    </w:p>
    <w:p>
      <w:pPr>
        <w:pStyle w:val="Heading1"/>
      </w:pPr>
      <w:r>
        <w:t>9. 什么时候能交付，9 月 30 日能讲到哪里</w:t>
      </w:r>
    </w:p>
    <w:p>
      <w:r>
        <w:rPr>
          <w:b/>
        </w:rPr>
        <w:t>本批计算、结果表、模型决策和恢复数量分析现已完成。</w:t>
      </w:r>
      <w:r>
        <w:t xml:space="preserve"> 已有 </w:t>
      </w:r>
      <w:hyperlink r:id="rId19">
        <w:r>
          <w:rPr>
            <w:color w:val="216C97"/>
          </w:rPr>
          <w:t>完整进展与开题材料</w:t>
        </w:r>
      </w:hyperlink>
      <w:r>
        <w:t>；本报告是应补充进去的最新结果，不能用之前报告中的预期代替它。</w:t>
      </w:r>
    </w:p>
    <w:p>
      <w:r>
        <w:t>后续若启动下一阶段，我对工作量的估计是：现有产物的恢复审计约 2–4 小时；可恢复旧基线的来源与字段整理再需半天左右，若必须重建预测则需先小样计时。这是工作量估计，</w:t>
      </w:r>
      <w:r>
        <w:rPr>
          <w:b/>
        </w:rPr>
        <w:t>不是已经启动的后台任务，也不能保证这些候选全部通过审核</w:t>
      </w:r>
      <w:r>
        <w:t>。强上游验证与独立确认不能承诺在 9 月 30 日前闭合。</w:t>
      </w:r>
    </w:p>
    <w:p>
      <w:r>
        <w:t>9 月 30 日进展/开题可完整交代：问题定义、三类信息来源、已有正负证据、这批同条件对照、旧结论修正、可恢复数据量、后续可证伪路线。可以展示方法假设与实证推导，不应宣称已经完成投稿论文的全部有效性验证。</w:t>
      </w:r>
    </w:p>
    <w:p>
      <w:r>
        <w:t>目标刊可继续参考 TCBB：CCF 官方目录将其列入 B 类，期刊范围覆盖生物问题驱动的算法、数学和统计方法；这说明方向契合，不说明当前工作已满足录用要求。“二区”还需按学校使用的具体分区体系与年份核对，本报告不把它与 CCF-B 画等号。</w:t>
      </w:r>
      <w:hyperlink r:id="rId20">
        <w:r>
          <w:rPr>
            <w:color w:val="216C97"/>
          </w:rPr>
          <w:t>CCF 目录</w:t>
        </w:r>
      </w:hyperlink>
      <w:r>
        <w:t>、</w:t>
      </w:r>
      <w:hyperlink r:id="rId21">
        <w:r>
          <w:rPr>
            <w:color w:val="216C97"/>
          </w:rPr>
          <w:t>TCBB 官方范围</w:t>
        </w:r>
      </w:hyperlink>
      <w:r>
        <w:t>。</w:t>
      </w:r>
    </w:p>
    <w:p>
      <w:pPr>
        <w:pStyle w:val="Heading1"/>
      </w:pPr>
      <w:r>
        <w:t>10. 复现与停止记录</w:t>
      </w:r>
    </w:p>
    <w:p>
      <w:pPr>
        <w:pStyle w:val="ListBullet"/>
      </w:pPr>
      <w:r>
        <w:t>运行脚本：</w:t>
      </w:r>
      <w:hyperlink r:id="rId22">
        <w:r>
          <w:rPr>
            <w:color w:val="216C97"/>
          </w:rPr>
          <w:t>run_safeconf_model_decision.py</w:t>
        </w:r>
      </w:hyperlink>
      <w:r>
        <w:t>。已完成目录拒绝覆盖，复现应使用单独 checkout/输出位置，避免抹掉本批记录。</w:t>
      </w:r>
    </w:p>
    <w:p>
      <w:pPr>
        <w:pStyle w:val="ListBullet"/>
      </w:pPr>
      <w:r>
        <w:t>结果文件：</w:t>
      </w:r>
      <w:hyperlink r:id="rId23">
        <w:r>
          <w:rPr>
            <w:color w:val="216C97"/>
          </w:rPr>
          <w:t>RESULTS.csv</w:t>
        </w:r>
      </w:hyperlink>
      <w:r>
        <w:t>、</w:t>
      </w:r>
      <w:hyperlink r:id="rId24">
        <w:r>
          <w:rPr>
            <w:color w:val="216C97"/>
          </w:rPr>
          <w:t>DATASET_RESULTS.csv</w:t>
        </w:r>
      </w:hyperlink>
      <w:r>
        <w:t>、</w:t>
      </w:r>
      <w:hyperlink r:id="rId25">
        <w:r>
          <w:rPr>
            <w:color w:val="216C97"/>
          </w:rPr>
          <w:t>PAIRED_COMPARISONS.csv</w:t>
        </w:r>
      </w:hyperlink>
      <w:r>
        <w:t>、</w:t>
      </w:r>
      <w:hyperlink r:id="rId15">
        <w:r>
          <w:rPr>
            <w:color w:val="216C97"/>
          </w:rPr>
          <w:t>完整数值表</w:t>
        </w:r>
      </w:hyperlink>
      <w:r>
        <w:t xml:space="preserve">。任务级输出为 </w:t>
      </w:r>
      <w:r>
        <w:rPr>
          <w:rFonts w:ascii="DejaVu Sans Mono" w:hAnsi="DejaVu Sans Mono"/>
          <w:sz w:val="18"/>
        </w:rPr>
        <w:t>PREDICTIONS.csv.gz</w:t>
      </w:r>
      <w:r>
        <w:t>；各折来源和任务哈希均保存。</w:t>
      </w:r>
    </w:p>
    <w:p>
      <w:pPr>
        <w:pStyle w:val="ListBullet"/>
      </w:pPr>
      <w:r>
        <w:t>回归 RMSE 只在同数据组、同折、同上游内比较；CSV 中跨数据组原始 RMSE 的简单平均不是统一生物尺度。原始幅度不是预计误差，所以其回归 RMSE 为空。</w:t>
      </w:r>
    </w:p>
    <w:p>
      <w:pPr>
        <w:pStyle w:val="ListBullet"/>
      </w:pPr>
      <w:r>
        <w:t>4 项实现检查通过：不解析禁止行标签；query 真值不能改变特征/基础风险；内部交叉拟合排除自身扰动标签；并列风险的随机期望效用正确。另核对 63 个单元的样本一致性与三上游折一致性。</w:t>
      </w:r>
    </w:p>
    <w:p>
      <w:pPr>
        <w:pStyle w:val="ListBullet"/>
      </w:pPr>
      <w:r>
        <w:t xml:space="preserve">输入与运行脚本哈希、软件版本、GPU、运行时间和终态在 </w:t>
      </w:r>
      <w:r>
        <w:rPr>
          <w:rFonts w:ascii="DejaVu Sans Mono" w:hAnsi="DejaVu Sans Mono"/>
          <w:sz w:val="18"/>
        </w:rPr>
        <w:t>RUN_STATUS.json</w:t>
      </w:r>
      <w:r>
        <w:t xml:space="preserve">；结果汇总核对在 </w:t>
      </w:r>
      <w:r>
        <w:rPr>
          <w:rFonts w:ascii="DejaVu Sans Mono" w:hAnsi="DejaVu Sans Mono"/>
          <w:sz w:val="18"/>
        </w:rPr>
        <w:t>SUMMARY_AUDIT.json</w:t>
      </w:r>
      <w:r>
        <w:t xml:space="preserve">。当前文档有事实更正，运行时协议哈希对应事前提交 </w:t>
      </w:r>
      <w:r>
        <w:rPr>
          <w:rFonts w:ascii="DejaVu Sans Mono" w:hAnsi="DejaVu Sans Mono"/>
          <w:sz w:val="18"/>
        </w:rPr>
        <w:t>eea1bfc</w:t>
      </w:r>
      <w:r>
        <w:t>。</w:t>
      </w:r>
    </w:p>
    <w:p>
      <w:pPr>
        <w:pStyle w:val="ListBullet"/>
      </w:pPr>
      <w:r>
        <w:t>新上游训练：0；最终测试标签使用：0；新增大规模预处理：0；完成后追加训练：0。停止状态：</w:t>
      </w:r>
      <w:r>
        <w:rPr>
          <w:rFonts w:ascii="DejaVu Sans Mono" w:hAnsi="DejaVu Sans Mono"/>
          <w:sz w:val="18"/>
        </w:rPr>
        <w:t>COMPLETE_STOPPED_AFTER_FIRST_BATCH</w:t>
      </w:r>
      <w: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SafeConf｜证据驱动的方法研究与开题进展｜2026-09-28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48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748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7486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1298020005/SafeConf/blob/exp/e220-reviewer-closure-20260921/SAFECONF_MODEL_DECISION.md" TargetMode="External"/><Relationship Id="rId12" Type="http://schemas.openxmlformats.org/officeDocument/2006/relationships/hyperlink" Target="https://github.com/1298020005/SafeConf/blob/exp/e220-reviewer-closure-20260921/docs/%E5%AE%9E%E9%AA%8C%E7%BB%93%E6%9E%9C/ModelDecision_light_batch_20260928/RUN_STATUS.json" TargetMode="External"/><Relationship Id="rId13" Type="http://schemas.openxmlformats.org/officeDocument/2006/relationships/hyperlink" Target="https://github.com/1298020005/SafeConf/blob/exp/e220-reviewer-closure-20260921/code/20260426_154505_perturb_transport_final_push/03_code/transport_models.py" TargetMode="External"/><Relationship Id="rId14" Type="http://schemas.openxmlformats.org/officeDocument/2006/relationships/hyperlink" Target="https://github.com/1298020005/SafeConf/blob/exp/e220-reviewer-closure-20260921/code/20260426_154505_perturb_transport_final_push/safetrans_confidence/cli/run_lopo_third_predictor.py" TargetMode="External"/><Relationship Id="rId15" Type="http://schemas.openxmlformats.org/officeDocument/2006/relationships/hyperlink" Target="https://github.com/1298020005/SafeConf/blob/exp/e220-reviewer-closure-20260921/docs/%E5%AE%9E%E9%AA%8C%E7%BB%93%E6%9E%9C/ModelDecision_light_batch_20260928/RESULT_TABLE.md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github.com/1298020005/SafeConf/blob/exp/e220-reviewer-closure-20260921/docs/%E5%AE%9E%E9%AA%8C%E7%BB%93%E6%9E%9C/ModelDecision_light_batch_20260928/RECOVERABLE_TASKS.csv" TargetMode="External"/><Relationship Id="rId18" Type="http://schemas.openxmlformats.org/officeDocument/2006/relationships/hyperlink" Target="https://github.com/1298020005/SafeConf/blob/exp/e220-reviewer-closure-20260921/docs/%E5%AE%9E%E9%AA%8C%E7%BB%93%E6%9E%9C/ModelDecision_light_batch_20260928/RECOVERY_STATUS.json" TargetMode="External"/><Relationship Id="rId19" Type="http://schemas.openxmlformats.org/officeDocument/2006/relationships/hyperlink" Target="https://github.com/1298020005/SafeConf/blob/exp/e220-reviewer-closure-20260921/docs/%E6%96%B9%E6%B3%95%E8%AE%BE%E8%AE%A1/20260928_%E8%AF%81%E6%8D%AE%E9%A9%B1%E5%8A%A8%E5%BC%80%E9%A2%98/README.md" TargetMode="External"/><Relationship Id="rId20" Type="http://schemas.openxmlformats.org/officeDocument/2006/relationships/hyperlink" Target="https://www.ccf.org.cn/Academic_Evaluation/Cross_Compre_Emerging/" TargetMode="External"/><Relationship Id="rId21" Type="http://schemas.openxmlformats.org/officeDocument/2006/relationships/hyperlink" Target="https://www.computer.org/digital-library/journals/bb/cfp-computational-biology-bioinformatics" TargetMode="External"/><Relationship Id="rId22" Type="http://schemas.openxmlformats.org/officeDocument/2006/relationships/hyperlink" Target="https://github.com/1298020005/SafeConf/blob/exp/e220-reviewer-closure-20260921/tools/scripts/run_safeconf_model_decision.py" TargetMode="External"/><Relationship Id="rId23" Type="http://schemas.openxmlformats.org/officeDocument/2006/relationships/hyperlink" Target="https://github.com/1298020005/SafeConf/blob/exp/e220-reviewer-closure-20260921/docs/%E5%AE%9E%E9%AA%8C%E7%BB%93%E6%9E%9C/ModelDecision_light_batch_20260928/RESULTS.csv" TargetMode="External"/><Relationship Id="rId24" Type="http://schemas.openxmlformats.org/officeDocument/2006/relationships/hyperlink" Target="https://github.com/1298020005/SafeConf/blob/exp/e220-reviewer-closure-20260921/docs/%E5%AE%9E%E9%AA%8C%E7%BB%93%E6%9E%9C/ModelDecision_light_batch_20260928/DATASET_RESULTS.csv" TargetMode="External"/><Relationship Id="rId25" Type="http://schemas.openxmlformats.org/officeDocument/2006/relationships/hyperlink" Target="https://github.com/1298020005/SafeConf/blob/exp/e220-reviewer-closure-20260921/docs/%E5%AE%9E%E9%AA%8C%E7%BB%93%E6%9E%9C/ModelDecision_light_batch_20260928/PAIRED_COMPARISON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