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56"/>
        </w:rPr>
        <w:t>🌿 EcoAtlas</w:t>
      </w:r>
    </w:p>
    <w:p>
      <w:pPr>
        <w:spacing w:before="0" w:after="280"/>
      </w:pPr>
      <w:r>
        <w:rPr>
          <w:rFonts w:ascii="Arial" w:hAnsi="Arial"/>
          <w:b/>
          <w:color w:val="10B981"/>
          <w:sz w:val="26"/>
        </w:rPr>
        <w:t>Next-Generation Geospatial Intelligence Platform for Carbon Sequestration &amp; Biodiversity Monitoring</w:t>
      </w:r>
    </w:p>
    <w:tbl>
      <w:tblPr>
        <w:tblW w:type="auto" w:w="0"/>
        <w:jc w:val="center"/>
        <w:tblLook w:firstColumn="1" w:firstRow="1" w:lastColumn="0" w:lastRow="0" w:noHBand="0" w:noVBand="1" w:val="04A0"/>
      </w:tblPr>
      <w:tblGrid>
        <w:gridCol w:w="4968"/>
        <w:gridCol w:w="4968"/>
      </w:tblGrid>
      <w:tr>
        <w:tc>
          <w:tcPr>
            <w:tcW w:type="dxa" w:w="3168"/>
            <w:shd w:fill="F1F5F9"/>
            <w:tcMar>
              <w:top w:w="80" w:type="dxa"/>
              <w:bottom w:w="80" w:type="dxa"/>
              <w:left w:w="140" w:type="dxa"/>
              <w:right w:w="140" w:type="dxa"/>
            </w:tcMar>
          </w:tcPr>
          <w:p>
            <w:r>
              <w:rPr>
                <w:rFonts w:ascii="Arial" w:hAnsi="Arial"/>
                <w:b/>
                <w:color w:val="0F172A"/>
                <w:sz w:val="19"/>
              </w:rPr>
              <w:t>Project Name</w:t>
            </w:r>
          </w:p>
        </w:tc>
        <w:tc>
          <w:tcPr>
            <w:tcW w:type="dxa" w:w="6624"/>
            <w:shd w:fill="F8FAFC"/>
            <w:tcMar>
              <w:top w:w="80" w:type="dxa"/>
              <w:bottom w:w="80" w:type="dxa"/>
              <w:left w:w="140" w:type="dxa"/>
              <w:right w:w="140" w:type="dxa"/>
            </w:tcMar>
          </w:tcPr>
          <w:p>
            <w:r>
              <w:rPr>
                <w:rFonts w:ascii="Arial" w:hAnsi="Arial"/>
                <w:color w:val="1E293B"/>
                <w:sz w:val="19"/>
              </w:rPr>
              <w:t>EcoAtlas (Carbon &amp; Biodiversity Intelligence Platform)</w:t>
            </w:r>
          </w:p>
        </w:tc>
      </w:tr>
      <w:tr>
        <w:tc>
          <w:tcPr>
            <w:tcW w:type="dxa" w:w="3168"/>
            <w:shd w:fill="F1F5F9"/>
            <w:tcMar>
              <w:top w:w="80" w:type="dxa"/>
              <w:bottom w:w="80" w:type="dxa"/>
              <w:left w:w="140" w:type="dxa"/>
              <w:right w:w="140" w:type="dxa"/>
            </w:tcMar>
          </w:tcPr>
          <w:p>
            <w:r>
              <w:rPr>
                <w:rFonts w:ascii="Arial" w:hAnsi="Arial"/>
                <w:b/>
                <w:color w:val="0F172A"/>
                <w:sz w:val="19"/>
              </w:rPr>
              <w:t>Live Frontend (Vercel)</w:t>
            </w:r>
          </w:p>
        </w:tc>
        <w:tc>
          <w:tcPr>
            <w:tcW w:type="dxa" w:w="6624"/>
            <w:shd w:fill="F8FAFC"/>
            <w:tcMar>
              <w:top w:w="80" w:type="dxa"/>
              <w:bottom w:w="80" w:type="dxa"/>
              <w:left w:w="140" w:type="dxa"/>
              <w:right w:w="140" w:type="dxa"/>
            </w:tcMar>
          </w:tcPr>
          <w:p>
            <w:r>
              <w:rPr>
                <w:rFonts w:ascii="Arial" w:hAnsi="Arial"/>
                <w:color w:val="1E293B"/>
                <w:sz w:val="19"/>
              </w:rPr>
              <w:t>https://ecoatlas.vercel.app (or your deployed Vercel link)</w:t>
            </w:r>
          </w:p>
        </w:tc>
      </w:tr>
      <w:tr>
        <w:tc>
          <w:tcPr>
            <w:tcW w:type="dxa" w:w="3168"/>
            <w:shd w:fill="F1F5F9"/>
            <w:tcMar>
              <w:top w:w="80" w:type="dxa"/>
              <w:bottom w:w="80" w:type="dxa"/>
              <w:left w:w="140" w:type="dxa"/>
              <w:right w:w="140" w:type="dxa"/>
            </w:tcMar>
          </w:tcPr>
          <w:p>
            <w:r>
              <w:rPr>
                <w:rFonts w:ascii="Arial" w:hAnsi="Arial"/>
                <w:b/>
                <w:color w:val="0F172A"/>
                <w:sz w:val="19"/>
              </w:rPr>
              <w:t>Live Backend API (Render)</w:t>
            </w:r>
          </w:p>
        </w:tc>
        <w:tc>
          <w:tcPr>
            <w:tcW w:type="dxa" w:w="6624"/>
            <w:shd w:fill="F8FAFC"/>
            <w:tcMar>
              <w:top w:w="80" w:type="dxa"/>
              <w:bottom w:w="80" w:type="dxa"/>
              <w:left w:w="140" w:type="dxa"/>
              <w:right w:w="140" w:type="dxa"/>
            </w:tcMar>
          </w:tcPr>
          <w:p>
            <w:r>
              <w:rPr>
                <w:rFonts w:ascii="Arial" w:hAnsi="Arial"/>
                <w:color w:val="1E293B"/>
                <w:sz w:val="19"/>
              </w:rPr>
              <w:t>https://ecoatlas-api.onrender.com (API base: /api)</w:t>
            </w:r>
          </w:p>
        </w:tc>
      </w:tr>
      <w:tr>
        <w:tc>
          <w:tcPr>
            <w:tcW w:type="dxa" w:w="3168"/>
            <w:shd w:fill="F1F5F9"/>
            <w:tcMar>
              <w:top w:w="80" w:type="dxa"/>
              <w:bottom w:w="80" w:type="dxa"/>
              <w:left w:w="140" w:type="dxa"/>
              <w:right w:w="140" w:type="dxa"/>
            </w:tcMar>
          </w:tcPr>
          <w:p>
            <w:r>
              <w:rPr>
                <w:rFonts w:ascii="Arial" w:hAnsi="Arial"/>
                <w:b/>
                <w:color w:val="0F172A"/>
                <w:sz w:val="19"/>
              </w:rPr>
              <w:t>GitHub Repository</w:t>
            </w:r>
          </w:p>
        </w:tc>
        <w:tc>
          <w:tcPr>
            <w:tcW w:type="dxa" w:w="6624"/>
            <w:shd w:fill="F8FAFC"/>
            <w:tcMar>
              <w:top w:w="80" w:type="dxa"/>
              <w:bottom w:w="80" w:type="dxa"/>
              <w:left w:w="140" w:type="dxa"/>
              <w:right w:w="140" w:type="dxa"/>
            </w:tcMar>
          </w:tcPr>
          <w:p>
            <w:r>
              <w:rPr>
                <w:rFonts w:ascii="Arial" w:hAnsi="Arial"/>
                <w:color w:val="1E293B"/>
                <w:sz w:val="19"/>
              </w:rPr>
              <w:t>https://github.com/12ATHARAV/EcoAtlas</w:t>
            </w:r>
          </w:p>
        </w:tc>
      </w:tr>
      <w:tr>
        <w:tc>
          <w:tcPr>
            <w:tcW w:type="dxa" w:w="3168"/>
            <w:shd w:fill="F1F5F9"/>
            <w:tcMar>
              <w:top w:w="80" w:type="dxa"/>
              <w:bottom w:w="80" w:type="dxa"/>
              <w:left w:w="140" w:type="dxa"/>
              <w:right w:w="140" w:type="dxa"/>
            </w:tcMar>
          </w:tcPr>
          <w:p>
            <w:r>
              <w:rPr>
                <w:rFonts w:ascii="Arial" w:hAnsi="Arial"/>
                <w:b/>
                <w:color w:val="0F172A"/>
                <w:sz w:val="19"/>
              </w:rPr>
              <w:t>Default Demo Login</w:t>
            </w:r>
          </w:p>
        </w:tc>
        <w:tc>
          <w:tcPr>
            <w:tcW w:type="dxa" w:w="6624"/>
            <w:shd w:fill="F8FAFC"/>
            <w:tcMar>
              <w:top w:w="80" w:type="dxa"/>
              <w:bottom w:w="80" w:type="dxa"/>
              <w:left w:w="140" w:type="dxa"/>
              <w:right w:w="140" w:type="dxa"/>
            </w:tcMar>
          </w:tcPr>
          <w:p>
            <w:r>
              <w:rPr>
                <w:rFonts w:ascii="Arial" w:hAnsi="Arial"/>
                <w:color w:val="1E293B"/>
                <w:sz w:val="19"/>
              </w:rPr>
              <w:t>admin@ecoatlas.earth  |  Password: Admin123!</w:t>
            </w:r>
          </w:p>
        </w:tc>
      </w:tr>
    </w:tbl>
    <w:p>
      <w:pPr>
        <w:spacing w:after="200"/>
      </w:pPr>
    </w:p>
    <w:p>
      <w:pPr>
        <w:spacing w:before="360" w:after="120"/>
      </w:pPr>
      <w:r>
        <w:rPr>
          <w:rFonts w:ascii="Arial" w:hAnsi="Arial"/>
          <w:b/>
          <w:color w:val="0F172A"/>
          <w:sz w:val="32"/>
        </w:rPr>
        <w:t>1. Executive Summary &amp; Problem Statement</w:t>
      </w:r>
    </w:p>
    <w:p>
      <w:pPr>
        <w:spacing w:before="0" w:after="120" w:line="276" w:lineRule="auto"/>
      </w:pPr>
      <w:r>
        <w:rPr>
          <w:rFonts w:ascii="Arial" w:hAnsi="Arial"/>
          <w:b/>
          <w:color w:val="0F172A"/>
          <w:sz w:val="20"/>
        </w:rPr>
        <w:t xml:space="preserve">The Ecological MRV Challenge: </w:t>
      </w:r>
      <w:r>
        <w:rPr>
          <w:rFonts w:ascii="Arial" w:hAnsi="Arial"/>
          <w:color w:val="1E293B"/>
          <w:sz w:val="20"/>
        </w:rPr>
        <w:t>Global voluntary carbon markets and biodiversity credit registries are currently impeded by fragmented data, slow manual boundary verifications, and lack of transparent telemetry. Traditional monitoring, reporting, and verification (MRV) methods are prone to inaccuracies, delayed reporting cycles, and limited accessibility for external auditors.</w:t>
      </w:r>
    </w:p>
    <w:p>
      <w:pPr>
        <w:spacing w:before="0" w:after="120" w:line="276" w:lineRule="auto"/>
      </w:pPr>
      <w:r>
        <w:rPr>
          <w:rFonts w:ascii="Arial" w:hAnsi="Arial"/>
          <w:b/>
          <w:color w:val="0F172A"/>
          <w:sz w:val="20"/>
        </w:rPr>
        <w:t xml:space="preserve">The EcoAtlas Solution: </w:t>
      </w:r>
      <w:r>
        <w:rPr>
          <w:rFonts w:ascii="Arial" w:hAnsi="Arial"/>
          <w:color w:val="1E293B"/>
          <w:sz w:val="20"/>
        </w:rPr>
        <w:t>EcoAtlas is a production-ready, full-stack geospatial intelligence platform designed to empower conservation agencies, carbon registries, and researchers. By marrying satellite imagery with client-side polygon drawing and automated geodesic metric calculations, EcoAtlas enables real-time ecological telemetry tracking across forests, mangroves, and wetlands worldwide.</w:t>
      </w:r>
    </w:p>
    <w:p>
      <w:pPr>
        <w:spacing w:before="360" w:after="120"/>
      </w:pPr>
      <w:r>
        <w:rPr>
          <w:rFonts w:ascii="Arial" w:hAnsi="Arial"/>
          <w:b/>
          <w:color w:val="0F172A"/>
          <w:sz w:val="32"/>
        </w:rPr>
        <w:t>2. Core Platform Capabilities</w:t>
      </w:r>
    </w:p>
    <w:p>
      <w:pPr>
        <w:spacing w:before="240" w:after="80"/>
      </w:pPr>
      <w:r>
        <w:rPr>
          <w:rFonts w:ascii="Arial" w:hAnsi="Arial"/>
          <w:b/>
          <w:color w:val="10B981"/>
          <w:sz w:val="24"/>
        </w:rPr>
        <w:t>2.1 Interactive 3D Satellite Globe &amp; Terrain Exploration</w:t>
      </w:r>
    </w:p>
    <w:p>
      <w:pPr>
        <w:pStyle w:val="ListBullet"/>
        <w:spacing w:before="0" w:after="60" w:line="276" w:lineRule="auto"/>
      </w:pPr>
      <w:r>
        <w:rPr>
          <w:rFonts w:ascii="Arial" w:hAnsi="Arial"/>
          <w:b/>
          <w:color w:val="0F172A"/>
          <w:sz w:val="19"/>
        </w:rPr>
        <w:t>Photorealistic Global Satellite Imagery:</w:t>
      </w:r>
      <w:r>
        <w:rPr>
          <w:rFonts w:ascii="Arial" w:hAnsi="Arial"/>
          <w:color w:val="1E293B"/>
          <w:sz w:val="19"/>
        </w:rPr>
        <w:t xml:space="preserve"> High-resolution satellite tiles, digital elevation relief, and interactive orbit controls powered by Mapbox GL JS.</w:t>
      </w:r>
    </w:p>
    <w:p>
      <w:pPr>
        <w:pStyle w:val="ListBullet"/>
        <w:spacing w:before="0" w:after="60" w:line="276" w:lineRule="auto"/>
      </w:pPr>
      <w:r>
        <w:rPr>
          <w:rFonts w:ascii="Arial" w:hAnsi="Arial"/>
          <w:b/>
          <w:color w:val="0F172A"/>
          <w:sz w:val="19"/>
        </w:rPr>
        <w:t>Orbital Atmospheric Fog &amp; Shaders:</w:t>
      </w:r>
      <w:r>
        <w:rPr>
          <w:rFonts w:ascii="Arial" w:hAnsi="Arial"/>
          <w:color w:val="1E293B"/>
          <w:sz w:val="19"/>
        </w:rPr>
        <w:t xml:space="preserve"> Integrated dynamic atmospheric scattering and orbital lighting shaders for a modern, luxury climate-tech visual presentation.</w:t>
      </w:r>
    </w:p>
    <w:p>
      <w:pPr>
        <w:pStyle w:val="ListBullet"/>
        <w:spacing w:before="0" w:after="60" w:line="276" w:lineRule="auto"/>
      </w:pPr>
      <w:r>
        <w:rPr>
          <w:rFonts w:ascii="Arial" w:hAnsi="Arial"/>
          <w:b/>
          <w:color w:val="0F172A"/>
          <w:sz w:val="19"/>
        </w:rPr>
        <w:t>Zero-Clipping Responsive Canvas:</w:t>
      </w:r>
      <w:r>
        <w:rPr>
          <w:rFonts w:ascii="Arial" w:hAnsi="Arial"/>
          <w:color w:val="1E293B"/>
          <w:sz w:val="19"/>
        </w:rPr>
        <w:t xml:space="preserve"> Built-in ResizeObserver lifecycle engine that dynamically recalibrates the WebGL canvas on split-screen changes or viewport resizing, preventing blank areas or clipping.</w:t>
      </w:r>
    </w:p>
    <w:p>
      <w:pPr>
        <w:pStyle w:val="ListBullet"/>
        <w:spacing w:before="0" w:after="60" w:line="276" w:lineRule="auto"/>
      </w:pPr>
      <w:r>
        <w:rPr>
          <w:rFonts w:ascii="Arial" w:hAnsi="Arial"/>
          <w:b/>
          <w:color w:val="0F172A"/>
          <w:sz w:val="19"/>
        </w:rPr>
        <w:t>Multi-Style Map Switcher:</w:t>
      </w:r>
      <w:r>
        <w:rPr>
          <w:rFonts w:ascii="Arial" w:hAnsi="Arial"/>
          <w:color w:val="1E293B"/>
          <w:sz w:val="19"/>
        </w:rPr>
        <w:t xml:space="preserve"> Seamlessly toggle between Satellite Streets, Dark Matter Minimal, and Outdoor Topographic vector layers.</w:t>
      </w:r>
    </w:p>
    <w:p>
      <w:pPr>
        <w:spacing w:before="240" w:after="80"/>
      </w:pPr>
      <w:r>
        <w:rPr>
          <w:rFonts w:ascii="Arial" w:hAnsi="Arial"/>
          <w:b/>
          <w:color w:val="10B981"/>
          <w:sz w:val="24"/>
        </w:rPr>
        <w:t>2.2 In-Browser GeoJSON Polygon Drawing &amp; Geodesic Math</w:t>
      </w:r>
    </w:p>
    <w:p>
      <w:pPr>
        <w:pStyle w:val="ListBullet"/>
        <w:spacing w:before="0" w:after="60" w:line="276" w:lineRule="auto"/>
      </w:pPr>
      <w:r>
        <w:rPr>
          <w:rFonts w:ascii="Arial" w:hAnsi="Arial"/>
          <w:b/>
          <w:color w:val="0F172A"/>
          <w:sz w:val="19"/>
        </w:rPr>
        <w:t>Interactive Boundary Drawing:</w:t>
      </w:r>
      <w:r>
        <w:rPr>
          <w:rFonts w:ascii="Arial" w:hAnsi="Arial"/>
          <w:color w:val="1E293B"/>
          <w:sz w:val="19"/>
        </w:rPr>
        <w:t xml:space="preserve"> Operators can directly draw multi-vertex polygonal boundaries over any rainforest canopy or coastal zone using @mapbox/mapbox-gl-draw.</w:t>
      </w:r>
    </w:p>
    <w:p>
      <w:pPr>
        <w:pStyle w:val="ListBullet"/>
        <w:spacing w:before="0" w:after="60" w:line="276" w:lineRule="auto"/>
      </w:pPr>
      <w:r>
        <w:rPr>
          <w:rFonts w:ascii="Arial" w:hAnsi="Arial"/>
          <w:b/>
          <w:color w:val="0F172A"/>
          <w:sz w:val="19"/>
        </w:rPr>
        <w:t>Geodesic Area &amp; Centroid Computation:</w:t>
      </w:r>
      <w:r>
        <w:rPr>
          <w:rFonts w:ascii="Arial" w:hAnsi="Arial"/>
          <w:color w:val="1E293B"/>
          <w:sz w:val="19"/>
        </w:rPr>
        <w:t xml:space="preserve"> Server-side spherical geodesic computation via Shapely on WGS-84 (EPSG:4326), accurately generating surface area in hectares and precise centroid coordinates regardless of latitude distortion.</w:t>
      </w:r>
    </w:p>
    <w:p>
      <w:pPr>
        <w:pStyle w:val="ListBullet"/>
        <w:spacing w:before="0" w:after="60" w:line="276" w:lineRule="auto"/>
      </w:pPr>
      <w:r>
        <w:rPr>
          <w:rFonts w:ascii="Arial" w:hAnsi="Arial"/>
          <w:b/>
          <w:color w:val="0F172A"/>
          <w:sz w:val="19"/>
        </w:rPr>
        <w:t>GIS Standardization:</w:t>
      </w:r>
      <w:r>
        <w:rPr>
          <w:rFonts w:ascii="Arial" w:hAnsi="Arial"/>
          <w:color w:val="1E293B"/>
          <w:sz w:val="19"/>
        </w:rPr>
        <w:t xml:space="preserve"> All site boundaries export directly into standardized GeoJSON FeatureCollection format for compatibility with QGIS, ArcGIS, and Google Earth Engine.</w:t>
      </w:r>
    </w:p>
    <w:p>
      <w:pPr>
        <w:spacing w:before="240" w:after="80"/>
      </w:pPr>
      <w:r>
        <w:rPr>
          <w:rFonts w:ascii="Arial" w:hAnsi="Arial"/>
          <w:b/>
          <w:color w:val="10B981"/>
          <w:sz w:val="24"/>
        </w:rPr>
        <w:t>2.3 Multi-Sensor Longitudinal Telemetry</w:t>
      </w:r>
    </w:p>
    <w:p>
      <w:pPr>
        <w:pStyle w:val="ListBullet"/>
        <w:spacing w:before="0" w:after="60" w:line="276" w:lineRule="auto"/>
      </w:pPr>
      <w:r>
        <w:rPr>
          <w:rFonts w:ascii="Arial" w:hAnsi="Arial"/>
          <w:b/>
          <w:color w:val="0F172A"/>
          <w:sz w:val="19"/>
        </w:rPr>
        <w:t>Photosynthetic Vitality (NDVI):</w:t>
      </w:r>
      <w:r>
        <w:rPr>
          <w:rFonts w:ascii="Arial" w:hAnsi="Arial"/>
          <w:color w:val="1E293B"/>
          <w:sz w:val="19"/>
        </w:rPr>
        <w:t xml:space="preserve"> Normalized Difference Vegetation Index (NDVI) tracking photosynthetic vitality and canopy greenness over 12-month intervals.</w:t>
      </w:r>
    </w:p>
    <w:p>
      <w:pPr>
        <w:pStyle w:val="ListBullet"/>
        <w:spacing w:before="0" w:after="60" w:line="276" w:lineRule="auto"/>
      </w:pPr>
      <w:r>
        <w:rPr>
          <w:rFonts w:ascii="Arial" w:hAnsi="Arial"/>
          <w:b/>
          <w:color w:val="0F172A"/>
          <w:sz w:val="19"/>
        </w:rPr>
        <w:t>Carbon Stocks &amp; Sequestration:</w:t>
      </w:r>
      <w:r>
        <w:rPr>
          <w:rFonts w:ascii="Arial" w:hAnsi="Arial"/>
          <w:color w:val="1E293B"/>
          <w:sz w:val="19"/>
        </w:rPr>
        <w:t xml:space="preserve"> Cumulative aboveground biomass carbon stock monitoring (metric tonnes CO2e) alongside annual sequestration velocity.</w:t>
      </w:r>
    </w:p>
    <w:p>
      <w:pPr>
        <w:pStyle w:val="ListBullet"/>
        <w:spacing w:before="0" w:after="60" w:line="276" w:lineRule="auto"/>
      </w:pPr>
      <w:r>
        <w:rPr>
          <w:rFonts w:ascii="Arial" w:hAnsi="Arial"/>
          <w:b/>
          <w:color w:val="0F172A"/>
          <w:sz w:val="19"/>
        </w:rPr>
        <w:t>Biodiversity &amp; Canopy Density:</w:t>
      </w:r>
      <w:r>
        <w:rPr>
          <w:rFonts w:ascii="Arial" w:hAnsi="Arial"/>
          <w:color w:val="1E293B"/>
          <w:sz w:val="19"/>
        </w:rPr>
        <w:t xml:space="preserve"> Integrated Shannon-Wiener ecological biodiversity index paired with tree canopy density percentage ratings.</w:t>
      </w:r>
    </w:p>
    <w:p>
      <w:pPr>
        <w:pStyle w:val="ListBullet"/>
        <w:spacing w:before="0" w:after="60" w:line="276" w:lineRule="auto"/>
      </w:pPr>
      <w:r>
        <w:rPr>
          <w:rFonts w:ascii="Arial" w:hAnsi="Arial"/>
          <w:b/>
          <w:color w:val="0F172A"/>
          <w:sz w:val="19"/>
        </w:rPr>
        <w:t>Microclimate Telemetry:</w:t>
      </w:r>
      <w:r>
        <w:rPr>
          <w:rFonts w:ascii="Arial" w:hAnsi="Arial"/>
          <w:color w:val="1E293B"/>
          <w:sz w:val="19"/>
        </w:rPr>
        <w:t xml:space="preserve"> Multi-metric correlation with monthly ambient temperatures (Celsius) and cumulative precipitation (mm).</w:t>
      </w:r>
    </w:p>
    <w:p>
      <w:pPr>
        <w:spacing w:before="240" w:after="80"/>
      </w:pPr>
      <w:r>
        <w:rPr>
          <w:rFonts w:ascii="Arial" w:hAnsi="Arial"/>
          <w:b/>
          <w:color w:val="10B981"/>
          <w:sz w:val="24"/>
        </w:rPr>
        <w:t>2.4 Hierarchical Management &amp; Zero-Friction Security</w:t>
      </w:r>
    </w:p>
    <w:p>
      <w:pPr>
        <w:pStyle w:val="ListBullet"/>
        <w:spacing w:before="0" w:after="60" w:line="276" w:lineRule="auto"/>
      </w:pPr>
      <w:r>
        <w:rPr>
          <w:rFonts w:ascii="Arial" w:hAnsi="Arial"/>
          <w:b/>
          <w:color w:val="0F172A"/>
          <w:sz w:val="19"/>
        </w:rPr>
        <w:t>Project Hierarchy:</w:t>
      </w:r>
      <w:r>
        <w:rPr>
          <w:rFonts w:ascii="Arial" w:hAnsi="Arial"/>
          <w:color w:val="1E293B"/>
          <w:sz w:val="19"/>
        </w:rPr>
        <w:t xml:space="preserve"> Multi-tiered structure grouping geographical sites under corporate or regional conservation initiatives (REDD+, Biodiversity Corridors, Peatland Restorations).</w:t>
      </w:r>
    </w:p>
    <w:p>
      <w:pPr>
        <w:pStyle w:val="ListBullet"/>
        <w:spacing w:before="0" w:after="60" w:line="276" w:lineRule="auto"/>
      </w:pPr>
      <w:r>
        <w:rPr>
          <w:rFonts w:ascii="Arial" w:hAnsi="Arial"/>
          <w:b/>
          <w:color w:val="0F172A"/>
          <w:sz w:val="19"/>
        </w:rPr>
        <w:t>Dual Authentication:</w:t>
      </w:r>
      <w:r>
        <w:rPr>
          <w:rFonts w:ascii="Arial" w:hAnsi="Arial"/>
          <w:color w:val="1E293B"/>
          <w:sz w:val="19"/>
        </w:rPr>
        <w:t xml:space="preserve"> Industry-grade cryptographic Bcrypt password hashing and JSON Web Tokens (JWT) with automated guest demo login fallback for zero-barrier evaluations.</w:t>
      </w:r>
    </w:p>
    <w:p>
      <w:pPr>
        <w:spacing w:before="360" w:after="120"/>
      </w:pPr>
      <w:r>
        <w:rPr>
          <w:rFonts w:ascii="Arial" w:hAnsi="Arial"/>
          <w:b/>
          <w:color w:val="0F172A"/>
          <w:sz w:val="32"/>
        </w:rPr>
        <w:t>3. System Architecture &amp; Technology Stack</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40" w:type="dxa"/>
              <w:right w:w="140" w:type="dxa"/>
            </w:tcMar>
          </w:tcPr>
          <w:p>
            <w:r>
              <w:rPr>
                <w:rFonts w:ascii="Arial" w:hAnsi="Arial"/>
                <w:b/>
                <w:color w:val="FFFFFF"/>
                <w:sz w:val="20"/>
              </w:rPr>
              <w:t>Layer</w:t>
            </w:r>
          </w:p>
        </w:tc>
        <w:tc>
          <w:tcPr>
            <w:tcW w:type="dxa" w:w="3312"/>
            <w:shd w:fill="0F172A"/>
            <w:tcMar>
              <w:top w:w="100" w:type="dxa"/>
              <w:bottom w:w="100" w:type="dxa"/>
              <w:left w:w="140" w:type="dxa"/>
              <w:right w:w="140" w:type="dxa"/>
            </w:tcMar>
          </w:tcPr>
          <w:p>
            <w:r>
              <w:rPr>
                <w:rFonts w:ascii="Arial" w:hAnsi="Arial"/>
                <w:b/>
                <w:color w:val="FFFFFF"/>
                <w:sz w:val="20"/>
              </w:rPr>
              <w:t>Technology</w:t>
            </w:r>
          </w:p>
        </w:tc>
        <w:tc>
          <w:tcPr>
            <w:tcW w:type="dxa" w:w="3312"/>
            <w:shd w:fill="0F172A"/>
            <w:tcMar>
              <w:top w:w="100" w:type="dxa"/>
              <w:bottom w:w="100" w:type="dxa"/>
              <w:left w:w="140" w:type="dxa"/>
              <w:right w:w="140" w:type="dxa"/>
            </w:tcMar>
          </w:tcPr>
          <w:p>
            <w:r>
              <w:rPr>
                <w:rFonts w:ascii="Arial" w:hAnsi="Arial"/>
                <w:b/>
                <w:color w:val="FFFFFF"/>
                <w:sz w:val="20"/>
              </w:rPr>
              <w:t>Role &amp; Purpose</w:t>
            </w:r>
          </w:p>
        </w:tc>
      </w:tr>
      <w:tr>
        <w:tc>
          <w:tcPr>
            <w:tcW w:type="dxa" w:w="3312"/>
            <w:shd w:fill="FFFFFF"/>
            <w:tcMar>
              <w:top w:w="80" w:type="dxa"/>
              <w:bottom w:w="80" w:type="dxa"/>
              <w:left w:w="120" w:type="dxa"/>
              <w:right w:w="120" w:type="dxa"/>
            </w:tcMar>
          </w:tcPr>
          <w:p>
            <w:r>
              <w:rPr>
                <w:rFonts w:ascii="Arial" w:hAnsi="Arial"/>
                <w:b/>
                <w:color w:val="1E293B"/>
                <w:sz w:val="19"/>
              </w:rPr>
              <w:t>Frontend Application</w:t>
            </w:r>
          </w:p>
        </w:tc>
        <w:tc>
          <w:tcPr>
            <w:tcW w:type="dxa" w:w="3312"/>
            <w:shd w:fill="FFFFFF"/>
            <w:tcMar>
              <w:top w:w="80" w:type="dxa"/>
              <w:bottom w:w="80" w:type="dxa"/>
              <w:left w:w="120" w:type="dxa"/>
              <w:right w:w="120" w:type="dxa"/>
            </w:tcMar>
          </w:tcPr>
          <w:p>
            <w:r>
              <w:rPr>
                <w:rFonts w:ascii="Arial" w:hAnsi="Arial"/>
                <w:color w:val="1E293B"/>
                <w:sz w:val="19"/>
              </w:rPr>
              <w:t>React 19, Vite, Tailwind CSS</w:t>
            </w:r>
          </w:p>
        </w:tc>
        <w:tc>
          <w:tcPr>
            <w:tcW w:type="dxa" w:w="3312"/>
            <w:shd w:fill="FFFFFF"/>
            <w:tcMar>
              <w:top w:w="80" w:type="dxa"/>
              <w:bottom w:w="80" w:type="dxa"/>
              <w:left w:w="120" w:type="dxa"/>
              <w:right w:w="120" w:type="dxa"/>
            </w:tcMar>
          </w:tcPr>
          <w:p>
            <w:r>
              <w:rPr>
                <w:rFonts w:ascii="Arial" w:hAnsi="Arial"/>
                <w:color w:val="1E293B"/>
                <w:sz w:val="19"/>
              </w:rPr>
              <w:t>Component architecture, fluid client-side routing, modern Slate theme ergonomics.</w:t>
            </w:r>
          </w:p>
        </w:tc>
      </w:tr>
      <w:tr>
        <w:tc>
          <w:tcPr>
            <w:tcW w:type="dxa" w:w="3312"/>
            <w:shd w:fill="F8FAFC"/>
            <w:tcMar>
              <w:top w:w="80" w:type="dxa"/>
              <w:bottom w:w="80" w:type="dxa"/>
              <w:left w:w="120" w:type="dxa"/>
              <w:right w:w="120" w:type="dxa"/>
            </w:tcMar>
          </w:tcPr>
          <w:p>
            <w:r>
              <w:rPr>
                <w:rFonts w:ascii="Arial" w:hAnsi="Arial"/>
                <w:b/>
                <w:color w:val="1E293B"/>
                <w:sz w:val="19"/>
              </w:rPr>
              <w:t>Geospatial &amp; Visualization</w:t>
            </w:r>
          </w:p>
        </w:tc>
        <w:tc>
          <w:tcPr>
            <w:tcW w:type="dxa" w:w="3312"/>
            <w:shd w:fill="F8FAFC"/>
            <w:tcMar>
              <w:top w:w="80" w:type="dxa"/>
              <w:bottom w:w="80" w:type="dxa"/>
              <w:left w:w="120" w:type="dxa"/>
              <w:right w:w="120" w:type="dxa"/>
            </w:tcMar>
          </w:tcPr>
          <w:p>
            <w:r>
              <w:rPr>
                <w:rFonts w:ascii="Arial" w:hAnsi="Arial"/>
                <w:color w:val="1E293B"/>
                <w:sz w:val="19"/>
              </w:rPr>
              <w:t>Mapbox GL JS, Mapbox Draw, Chart.js</w:t>
            </w:r>
          </w:p>
        </w:tc>
        <w:tc>
          <w:tcPr>
            <w:tcW w:type="dxa" w:w="3312"/>
            <w:shd w:fill="F8FAFC"/>
            <w:tcMar>
              <w:top w:w="80" w:type="dxa"/>
              <w:bottom w:w="80" w:type="dxa"/>
              <w:left w:w="120" w:type="dxa"/>
              <w:right w:w="120" w:type="dxa"/>
            </w:tcMar>
          </w:tcPr>
          <w:p>
            <w:r>
              <w:rPr>
                <w:rFonts w:ascii="Arial" w:hAnsi="Arial"/>
                <w:color w:val="1E293B"/>
                <w:sz w:val="19"/>
              </w:rPr>
              <w:t>WebGL 3D globe rendering, polygon vector creation, and time-series telemetry charts.</w:t>
            </w:r>
          </w:p>
        </w:tc>
      </w:tr>
      <w:tr>
        <w:tc>
          <w:tcPr>
            <w:tcW w:type="dxa" w:w="3312"/>
            <w:shd w:fill="FFFFFF"/>
            <w:tcMar>
              <w:top w:w="80" w:type="dxa"/>
              <w:bottom w:w="80" w:type="dxa"/>
              <w:left w:w="120" w:type="dxa"/>
              <w:right w:w="120" w:type="dxa"/>
            </w:tcMar>
          </w:tcPr>
          <w:p>
            <w:r>
              <w:rPr>
                <w:rFonts w:ascii="Arial" w:hAnsi="Arial"/>
                <w:b/>
                <w:color w:val="1E293B"/>
                <w:sz w:val="19"/>
              </w:rPr>
              <w:t>Backend Web API</w:t>
            </w:r>
          </w:p>
        </w:tc>
        <w:tc>
          <w:tcPr>
            <w:tcW w:type="dxa" w:w="3312"/>
            <w:shd w:fill="FFFFFF"/>
            <w:tcMar>
              <w:top w:w="80" w:type="dxa"/>
              <w:bottom w:w="80" w:type="dxa"/>
              <w:left w:w="120" w:type="dxa"/>
              <w:right w:w="120" w:type="dxa"/>
            </w:tcMar>
          </w:tcPr>
          <w:p>
            <w:r>
              <w:rPr>
                <w:rFonts w:ascii="Arial" w:hAnsi="Arial"/>
                <w:color w:val="1E293B"/>
                <w:sz w:val="19"/>
              </w:rPr>
              <w:t>FastAPI (Python 3.12), Uvicorn</w:t>
            </w:r>
          </w:p>
        </w:tc>
        <w:tc>
          <w:tcPr>
            <w:tcW w:type="dxa" w:w="3312"/>
            <w:shd w:fill="FFFFFF"/>
            <w:tcMar>
              <w:top w:w="80" w:type="dxa"/>
              <w:bottom w:w="80" w:type="dxa"/>
              <w:left w:w="120" w:type="dxa"/>
              <w:right w:w="120" w:type="dxa"/>
            </w:tcMar>
          </w:tcPr>
          <w:p>
            <w:r>
              <w:rPr>
                <w:rFonts w:ascii="Arial" w:hAnsi="Arial"/>
                <w:color w:val="1E293B"/>
                <w:sz w:val="19"/>
              </w:rPr>
              <w:t>High-throughput asynchronous REST API, OpenAPI docs, and request validation.</w:t>
            </w:r>
          </w:p>
        </w:tc>
      </w:tr>
      <w:tr>
        <w:tc>
          <w:tcPr>
            <w:tcW w:type="dxa" w:w="3312"/>
            <w:shd w:fill="F8FAFC"/>
            <w:tcMar>
              <w:top w:w="80" w:type="dxa"/>
              <w:bottom w:w="80" w:type="dxa"/>
              <w:left w:w="120" w:type="dxa"/>
              <w:right w:w="120" w:type="dxa"/>
            </w:tcMar>
          </w:tcPr>
          <w:p>
            <w:r>
              <w:rPr>
                <w:rFonts w:ascii="Arial" w:hAnsi="Arial"/>
                <w:b/>
                <w:color w:val="1E293B"/>
                <w:sz w:val="19"/>
              </w:rPr>
              <w:t>Geodesic Processing</w:t>
            </w:r>
          </w:p>
        </w:tc>
        <w:tc>
          <w:tcPr>
            <w:tcW w:type="dxa" w:w="3312"/>
            <w:shd w:fill="F8FAFC"/>
            <w:tcMar>
              <w:top w:w="80" w:type="dxa"/>
              <w:bottom w:w="80" w:type="dxa"/>
              <w:left w:w="120" w:type="dxa"/>
              <w:right w:w="120" w:type="dxa"/>
            </w:tcMar>
          </w:tcPr>
          <w:p>
            <w:r>
              <w:rPr>
                <w:rFonts w:ascii="Arial" w:hAnsi="Arial"/>
                <w:color w:val="1E293B"/>
                <w:sz w:val="19"/>
              </w:rPr>
              <w:t>Shapely, GeoJSON</w:t>
            </w:r>
          </w:p>
        </w:tc>
        <w:tc>
          <w:tcPr>
            <w:tcW w:type="dxa" w:w="3312"/>
            <w:shd w:fill="F8FAFC"/>
            <w:tcMar>
              <w:top w:w="80" w:type="dxa"/>
              <w:bottom w:w="80" w:type="dxa"/>
              <w:left w:w="120" w:type="dxa"/>
              <w:right w:w="120" w:type="dxa"/>
            </w:tcMar>
          </w:tcPr>
          <w:p>
            <w:r>
              <w:rPr>
                <w:rFonts w:ascii="Arial" w:hAnsi="Arial"/>
                <w:color w:val="1E293B"/>
                <w:sz w:val="19"/>
              </w:rPr>
              <w:t>WGS-84 coordinate transformation, spherical area calculation, and centroid geometry.</w:t>
            </w:r>
          </w:p>
        </w:tc>
      </w:tr>
      <w:tr>
        <w:tc>
          <w:tcPr>
            <w:tcW w:type="dxa" w:w="3312"/>
            <w:shd w:fill="FFFFFF"/>
            <w:tcMar>
              <w:top w:w="80" w:type="dxa"/>
              <w:bottom w:w="80" w:type="dxa"/>
              <w:left w:w="120" w:type="dxa"/>
              <w:right w:w="120" w:type="dxa"/>
            </w:tcMar>
          </w:tcPr>
          <w:p>
            <w:r>
              <w:rPr>
                <w:rFonts w:ascii="Arial" w:hAnsi="Arial"/>
                <w:b/>
                <w:color w:val="1E293B"/>
                <w:sz w:val="19"/>
              </w:rPr>
              <w:t>Database &amp; Persistence</w:t>
            </w:r>
          </w:p>
        </w:tc>
        <w:tc>
          <w:tcPr>
            <w:tcW w:type="dxa" w:w="3312"/>
            <w:shd w:fill="FFFFFF"/>
            <w:tcMar>
              <w:top w:w="80" w:type="dxa"/>
              <w:bottom w:w="80" w:type="dxa"/>
              <w:left w:w="120" w:type="dxa"/>
              <w:right w:w="120" w:type="dxa"/>
            </w:tcMar>
          </w:tcPr>
          <w:p>
            <w:r>
              <w:rPr>
                <w:rFonts w:ascii="Arial" w:hAnsi="Arial"/>
                <w:color w:val="1E293B"/>
                <w:sz w:val="19"/>
              </w:rPr>
              <w:t>Neon Serverless PostgreSQL / SQLite</w:t>
            </w:r>
          </w:p>
        </w:tc>
        <w:tc>
          <w:tcPr>
            <w:tcW w:type="dxa" w:w="3312"/>
            <w:shd w:fill="FFFFFF"/>
            <w:tcMar>
              <w:top w:w="80" w:type="dxa"/>
              <w:bottom w:w="80" w:type="dxa"/>
              <w:left w:w="120" w:type="dxa"/>
              <w:right w:w="120" w:type="dxa"/>
            </w:tcMar>
          </w:tcPr>
          <w:p>
            <w:r>
              <w:rPr>
                <w:rFonts w:ascii="Arial" w:hAnsi="Arial"/>
                <w:color w:val="1E293B"/>
                <w:sz w:val="19"/>
              </w:rPr>
              <w:t>Relational persistence with PostGIS compatibility, zero-config local fallback.</w:t>
            </w:r>
          </w:p>
        </w:tc>
      </w:tr>
    </w:tbl>
    <w:p>
      <w:pPr>
        <w:spacing w:before="360" w:after="120"/>
      </w:pPr>
      <w:r>
        <w:rPr>
          <w:rFonts w:ascii="Arial" w:hAnsi="Arial"/>
          <w:b/>
          <w:color w:val="0F172A"/>
          <w:sz w:val="32"/>
        </w:rPr>
        <w:t>4. Database Schema &amp; Data Models</w:t>
      </w:r>
    </w:p>
    <w:p>
      <w:pPr>
        <w:spacing w:before="0" w:after="120" w:line="276" w:lineRule="auto"/>
      </w:pPr>
      <w:r>
        <w:rPr>
          <w:rFonts w:ascii="Arial" w:hAnsi="Arial"/>
          <w:color w:val="1E293B"/>
          <w:sz w:val="20"/>
        </w:rPr>
        <w:t>The relational database schema is structured into four normalized entities: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40" w:type="dxa"/>
              <w:right w:w="140" w:type="dxa"/>
            </w:tcMar>
          </w:tcPr>
          <w:p>
            <w:r>
              <w:rPr>
                <w:rFonts w:ascii="Arial" w:hAnsi="Arial"/>
                <w:b/>
                <w:color w:val="FFFFFF"/>
                <w:sz w:val="20"/>
              </w:rPr>
              <w:t>Entity</w:t>
            </w:r>
          </w:p>
        </w:tc>
        <w:tc>
          <w:tcPr>
            <w:tcW w:type="dxa" w:w="3312"/>
            <w:shd w:fill="0F172A"/>
            <w:tcMar>
              <w:top w:w="100" w:type="dxa"/>
              <w:bottom w:w="100" w:type="dxa"/>
              <w:left w:w="140" w:type="dxa"/>
              <w:right w:w="140" w:type="dxa"/>
            </w:tcMar>
          </w:tcPr>
          <w:p>
            <w:r>
              <w:rPr>
                <w:rFonts w:ascii="Arial" w:hAnsi="Arial"/>
                <w:b/>
                <w:color w:val="FFFFFF"/>
                <w:sz w:val="20"/>
              </w:rPr>
              <w:t>Key Attributes</w:t>
            </w:r>
          </w:p>
        </w:tc>
        <w:tc>
          <w:tcPr>
            <w:tcW w:type="dxa" w:w="3312"/>
            <w:shd w:fill="0F172A"/>
            <w:tcMar>
              <w:top w:w="100" w:type="dxa"/>
              <w:bottom w:w="100" w:type="dxa"/>
              <w:left w:w="140" w:type="dxa"/>
              <w:right w:w="140" w:type="dxa"/>
            </w:tcMar>
          </w:tcPr>
          <w:p>
            <w:r>
              <w:rPr>
                <w:rFonts w:ascii="Arial" w:hAnsi="Arial"/>
                <w:b/>
                <w:color w:val="FFFFFF"/>
                <w:sz w:val="20"/>
              </w:rPr>
              <w:t>Description &amp; Relationships</w:t>
            </w:r>
          </w:p>
        </w:tc>
      </w:tr>
      <w:tr>
        <w:tc>
          <w:tcPr>
            <w:tcW w:type="dxa" w:w="3312"/>
            <w:shd w:fill="FFFFFF"/>
            <w:tcMar>
              <w:top w:w="80" w:type="dxa"/>
              <w:bottom w:w="80" w:type="dxa"/>
              <w:left w:w="120" w:type="dxa"/>
              <w:right w:w="120" w:type="dxa"/>
            </w:tcMar>
          </w:tcPr>
          <w:p>
            <w:r>
              <w:rPr>
                <w:rFonts w:ascii="Arial" w:hAnsi="Arial"/>
                <w:b/>
                <w:color w:val="1E293B"/>
                <w:sz w:val="19"/>
              </w:rPr>
              <w:t>User</w:t>
            </w:r>
          </w:p>
        </w:tc>
        <w:tc>
          <w:tcPr>
            <w:tcW w:type="dxa" w:w="3312"/>
            <w:shd w:fill="FFFFFF"/>
            <w:tcMar>
              <w:top w:w="80" w:type="dxa"/>
              <w:bottom w:w="80" w:type="dxa"/>
              <w:left w:w="120" w:type="dxa"/>
              <w:right w:w="120" w:type="dxa"/>
            </w:tcMar>
          </w:tcPr>
          <w:p>
            <w:r>
              <w:rPr>
                <w:rFonts w:ascii="Arial" w:hAnsi="Arial"/>
                <w:color w:val="1E293B"/>
                <w:sz w:val="19"/>
              </w:rPr>
              <w:t>id (UUID), email, password_hash, full_name, created_at</w:t>
            </w:r>
          </w:p>
        </w:tc>
        <w:tc>
          <w:tcPr>
            <w:tcW w:type="dxa" w:w="3312"/>
            <w:shd w:fill="FFFFFF"/>
            <w:tcMar>
              <w:top w:w="80" w:type="dxa"/>
              <w:bottom w:w="80" w:type="dxa"/>
              <w:left w:w="120" w:type="dxa"/>
              <w:right w:w="120" w:type="dxa"/>
            </w:tcMar>
          </w:tcPr>
          <w:p>
            <w:r>
              <w:rPr>
                <w:rFonts w:ascii="Arial" w:hAnsi="Arial"/>
                <w:color w:val="1E293B"/>
                <w:sz w:val="19"/>
              </w:rPr>
              <w:t>Platform administrators and conservation managers with role-based JWT privileges.</w:t>
            </w:r>
          </w:p>
        </w:tc>
      </w:tr>
      <w:tr>
        <w:tc>
          <w:tcPr>
            <w:tcW w:type="dxa" w:w="3312"/>
            <w:shd w:fill="F8FAFC"/>
            <w:tcMar>
              <w:top w:w="80" w:type="dxa"/>
              <w:bottom w:w="80" w:type="dxa"/>
              <w:left w:w="120" w:type="dxa"/>
              <w:right w:w="120" w:type="dxa"/>
            </w:tcMar>
          </w:tcPr>
          <w:p>
            <w:r>
              <w:rPr>
                <w:rFonts w:ascii="Arial" w:hAnsi="Arial"/>
                <w:b/>
                <w:color w:val="1E293B"/>
                <w:sz w:val="19"/>
              </w:rPr>
              <w:t>Project</w:t>
            </w:r>
          </w:p>
        </w:tc>
        <w:tc>
          <w:tcPr>
            <w:tcW w:type="dxa" w:w="3312"/>
            <w:shd w:fill="F8FAFC"/>
            <w:tcMar>
              <w:top w:w="80" w:type="dxa"/>
              <w:bottom w:w="80" w:type="dxa"/>
              <w:left w:w="120" w:type="dxa"/>
              <w:right w:w="120" w:type="dxa"/>
            </w:tcMar>
          </w:tcPr>
          <w:p>
            <w:r>
              <w:rPr>
                <w:rFonts w:ascii="Arial" w:hAnsi="Arial"/>
                <w:color w:val="1E293B"/>
                <w:sz w:val="19"/>
              </w:rPr>
              <w:t>id (UUID), name, description, project_type, status, user_id (FK)</w:t>
            </w:r>
          </w:p>
        </w:tc>
        <w:tc>
          <w:tcPr>
            <w:tcW w:type="dxa" w:w="3312"/>
            <w:shd w:fill="F8FAFC"/>
            <w:tcMar>
              <w:top w:w="80" w:type="dxa"/>
              <w:bottom w:w="80" w:type="dxa"/>
              <w:left w:w="120" w:type="dxa"/>
              <w:right w:w="120" w:type="dxa"/>
            </w:tcMar>
          </w:tcPr>
          <w:p>
            <w:r>
              <w:rPr>
                <w:rFonts w:ascii="Arial" w:hAnsi="Arial"/>
                <w:color w:val="1E293B"/>
                <w:sz w:val="19"/>
              </w:rPr>
              <w:t>Umbrella initiative grouping conservation parcels under carbon, biodiversity, or mixed mandates.</w:t>
            </w:r>
          </w:p>
        </w:tc>
      </w:tr>
      <w:tr>
        <w:tc>
          <w:tcPr>
            <w:tcW w:type="dxa" w:w="3312"/>
            <w:shd w:fill="FFFFFF"/>
            <w:tcMar>
              <w:top w:w="80" w:type="dxa"/>
              <w:bottom w:w="80" w:type="dxa"/>
              <w:left w:w="120" w:type="dxa"/>
              <w:right w:w="120" w:type="dxa"/>
            </w:tcMar>
          </w:tcPr>
          <w:p>
            <w:r>
              <w:rPr>
                <w:rFonts w:ascii="Arial" w:hAnsi="Arial"/>
                <w:b/>
                <w:color w:val="1E293B"/>
                <w:sz w:val="19"/>
              </w:rPr>
              <w:t>Site</w:t>
            </w:r>
          </w:p>
        </w:tc>
        <w:tc>
          <w:tcPr>
            <w:tcW w:type="dxa" w:w="3312"/>
            <w:shd w:fill="FFFFFF"/>
            <w:tcMar>
              <w:top w:w="80" w:type="dxa"/>
              <w:bottom w:w="80" w:type="dxa"/>
              <w:left w:w="120" w:type="dxa"/>
              <w:right w:w="120" w:type="dxa"/>
            </w:tcMar>
          </w:tcPr>
          <w:p>
            <w:r>
              <w:rPr>
                <w:rFonts w:ascii="Arial" w:hAnsi="Arial"/>
                <w:color w:val="1E293B"/>
                <w:sz w:val="19"/>
              </w:rPr>
              <w:t>id (UUID), name, project_id (FK), geometry (GeoJSON), area_hectares, centroid_lat, centroid_lng, region</w:t>
            </w:r>
          </w:p>
        </w:tc>
        <w:tc>
          <w:tcPr>
            <w:tcW w:type="dxa" w:w="3312"/>
            <w:shd w:fill="FFFFFF"/>
            <w:tcMar>
              <w:top w:w="80" w:type="dxa"/>
              <w:bottom w:w="80" w:type="dxa"/>
              <w:left w:w="120" w:type="dxa"/>
              <w:right w:w="120" w:type="dxa"/>
            </w:tcMar>
          </w:tcPr>
          <w:p>
            <w:r>
              <w:rPr>
                <w:rFonts w:ascii="Arial" w:hAnsi="Arial"/>
                <w:color w:val="1E293B"/>
                <w:sz w:val="19"/>
              </w:rPr>
              <w:t>Geofenced conservation boundary with polygon coordinates and calculated surface metrics.</w:t>
            </w:r>
          </w:p>
        </w:tc>
      </w:tr>
      <w:tr>
        <w:tc>
          <w:tcPr>
            <w:tcW w:type="dxa" w:w="3312"/>
            <w:shd w:fill="F8FAFC"/>
            <w:tcMar>
              <w:top w:w="80" w:type="dxa"/>
              <w:bottom w:w="80" w:type="dxa"/>
              <w:left w:w="120" w:type="dxa"/>
              <w:right w:w="120" w:type="dxa"/>
            </w:tcMar>
          </w:tcPr>
          <w:p>
            <w:r>
              <w:rPr>
                <w:rFonts w:ascii="Arial" w:hAnsi="Arial"/>
                <w:b/>
                <w:color w:val="1E293B"/>
                <w:sz w:val="19"/>
              </w:rPr>
              <w:t>AnalyticsData</w:t>
            </w:r>
          </w:p>
        </w:tc>
        <w:tc>
          <w:tcPr>
            <w:tcW w:type="dxa" w:w="3312"/>
            <w:shd w:fill="F8FAFC"/>
            <w:tcMar>
              <w:top w:w="80" w:type="dxa"/>
              <w:bottom w:w="80" w:type="dxa"/>
              <w:left w:w="120" w:type="dxa"/>
              <w:right w:w="120" w:type="dxa"/>
            </w:tcMar>
          </w:tcPr>
          <w:p>
            <w:r>
              <w:rPr>
                <w:rFonts w:ascii="Arial" w:hAnsi="Arial"/>
                <w:color w:val="1E293B"/>
                <w:sz w:val="19"/>
              </w:rPr>
              <w:t>id (UUID), site_id (FK), recorded_date, ndvi, carbon_stock_tonnes, biodiversity_index, tree_cover_pct, rainfall_mm, temp_avg</w:t>
            </w:r>
          </w:p>
        </w:tc>
        <w:tc>
          <w:tcPr>
            <w:tcW w:type="dxa" w:w="3312"/>
            <w:shd w:fill="F8FAFC"/>
            <w:tcMar>
              <w:top w:w="80" w:type="dxa"/>
              <w:bottom w:w="80" w:type="dxa"/>
              <w:left w:w="120" w:type="dxa"/>
              <w:right w:w="120" w:type="dxa"/>
            </w:tcMar>
          </w:tcPr>
          <w:p>
            <w:r>
              <w:rPr>
                <w:rFonts w:ascii="Arial" w:hAnsi="Arial"/>
                <w:color w:val="1E293B"/>
                <w:sz w:val="19"/>
              </w:rPr>
              <w:t>Monthly longitudinal sensor and satellite observations for longitudinal analysis.</w:t>
            </w:r>
          </w:p>
        </w:tc>
      </w:tr>
    </w:tbl>
    <w:p>
      <w:pPr>
        <w:spacing w:before="360" w:after="120"/>
      </w:pPr>
      <w:r>
        <w:rPr>
          <w:rFonts w:ascii="Arial" w:hAnsi="Arial"/>
          <w:b/>
          <w:color w:val="0F172A"/>
          <w:sz w:val="32"/>
        </w:rPr>
        <w:t>5. Pre-Seeded Real-World Conservation Biomes</w:t>
      </w:r>
    </w:p>
    <w:p>
      <w:pPr>
        <w:spacing w:before="0" w:after="120" w:line="276" w:lineRule="auto"/>
      </w:pPr>
      <w:r>
        <w:rPr>
          <w:rFonts w:ascii="Arial" w:hAnsi="Arial"/>
          <w:color w:val="1E293B"/>
          <w:sz w:val="20"/>
        </w:rPr>
        <w:t>EcoAtlas includes realistic, scientifically-calibrated data across four critical ecological reserves:</w:t>
      </w:r>
    </w:p>
    <w:p>
      <w:pPr>
        <w:pStyle w:val="ListBullet"/>
        <w:spacing w:before="0" w:after="60" w:line="276" w:lineRule="auto"/>
      </w:pPr>
      <w:r>
        <w:rPr>
          <w:rFonts w:ascii="Arial" w:hAnsi="Arial"/>
          <w:b/>
          <w:color w:val="0F172A"/>
          <w:sz w:val="19"/>
        </w:rPr>
        <w:t>1. Amazon Basin REDD+ Verified Reserve (Amazonas, Brazil):</w:t>
      </w:r>
      <w:r>
        <w:rPr>
          <w:rFonts w:ascii="Arial" w:hAnsi="Arial"/>
          <w:color w:val="1E293B"/>
          <w:sz w:val="19"/>
        </w:rPr>
        <w:t xml:space="preserve"> Avoided deforestation and canopy density preservation across 37,600+ hectares of indigenous corridors.</w:t>
      </w:r>
    </w:p>
    <w:p>
      <w:pPr>
        <w:pStyle w:val="ListBullet"/>
        <w:spacing w:before="0" w:after="60" w:line="276" w:lineRule="auto"/>
      </w:pPr>
      <w:r>
        <w:rPr>
          <w:rFonts w:ascii="Arial" w:hAnsi="Arial"/>
          <w:b/>
          <w:color w:val="0F172A"/>
          <w:sz w:val="19"/>
        </w:rPr>
        <w:t>2. Sundarbans Mangrove Blue Carbon Corridor (India / Bangladesh):</w:t>
      </w:r>
      <w:r>
        <w:rPr>
          <w:rFonts w:ascii="Arial" w:hAnsi="Arial"/>
          <w:color w:val="1E293B"/>
          <w:sz w:val="19"/>
        </w:rPr>
        <w:t xml:space="preserve"> Blue carbon tidal ecosystem sequestering dense sediment carbon while fortifying cyclone storm surge protection.</w:t>
      </w:r>
    </w:p>
    <w:p>
      <w:pPr>
        <w:pStyle w:val="ListBullet"/>
        <w:spacing w:before="0" w:after="60" w:line="276" w:lineRule="auto"/>
      </w:pPr>
      <w:r>
        <w:rPr>
          <w:rFonts w:ascii="Arial" w:hAnsi="Arial"/>
          <w:b/>
          <w:color w:val="0F172A"/>
          <w:sz w:val="19"/>
        </w:rPr>
        <w:t>3. Albertine Rift Afromontane Sanctuary (Rwanda / DR Congo):</w:t>
      </w:r>
      <w:r>
        <w:rPr>
          <w:rFonts w:ascii="Arial" w:hAnsi="Arial"/>
          <w:color w:val="1E293B"/>
          <w:sz w:val="19"/>
        </w:rPr>
        <w:t xml:space="preserve"> High-altitude montane cloud forest protecting endangered mountain gorillas and rare endemics.</w:t>
      </w:r>
    </w:p>
    <w:p>
      <w:pPr>
        <w:pStyle w:val="ListBullet"/>
        <w:spacing w:before="0" w:after="60" w:line="276" w:lineRule="auto"/>
      </w:pPr>
      <w:r>
        <w:rPr>
          <w:rFonts w:ascii="Arial" w:hAnsi="Arial"/>
          <w:b/>
          <w:color w:val="0F172A"/>
          <w:sz w:val="19"/>
        </w:rPr>
        <w:t>4. Scandinavian Boreal Peatland Restoration (Oulu, Finland):</w:t>
      </w:r>
      <w:r>
        <w:rPr>
          <w:rFonts w:ascii="Arial" w:hAnsi="Arial"/>
          <w:color w:val="1E293B"/>
          <w:sz w:val="19"/>
        </w:rPr>
        <w:t xml:space="preserve"> Rewetting historic sub-arctic peat bogs to suppress soil carbon release and stimulate sphagnum moss regrowth.</w:t>
      </w:r>
    </w:p>
    <w:p>
      <w:pPr>
        <w:spacing w:before="360" w:after="120"/>
      </w:pPr>
      <w:r>
        <w:rPr>
          <w:rFonts w:ascii="Arial" w:hAnsi="Arial"/>
          <w:b/>
          <w:color w:val="0F172A"/>
          <w:sz w:val="32"/>
        </w:rPr>
        <w:t>6. REST API Endpoints Reference</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40" w:type="dxa"/>
              <w:right w:w="140" w:type="dxa"/>
            </w:tcMar>
          </w:tcPr>
          <w:p>
            <w:r>
              <w:rPr>
                <w:rFonts w:ascii="Arial" w:hAnsi="Arial"/>
                <w:b/>
                <w:color w:val="FFFFFF"/>
                <w:sz w:val="20"/>
              </w:rPr>
              <w:t>HTTP Method</w:t>
            </w:r>
          </w:p>
        </w:tc>
        <w:tc>
          <w:tcPr>
            <w:tcW w:type="dxa" w:w="3312"/>
            <w:shd w:fill="0F172A"/>
            <w:tcMar>
              <w:top w:w="100" w:type="dxa"/>
              <w:bottom w:w="100" w:type="dxa"/>
              <w:left w:w="140" w:type="dxa"/>
              <w:right w:w="140" w:type="dxa"/>
            </w:tcMar>
          </w:tcPr>
          <w:p>
            <w:r>
              <w:rPr>
                <w:rFonts w:ascii="Arial" w:hAnsi="Arial"/>
                <w:b/>
                <w:color w:val="FFFFFF"/>
                <w:sz w:val="20"/>
              </w:rPr>
              <w:t>Path</w:t>
            </w:r>
          </w:p>
        </w:tc>
        <w:tc>
          <w:tcPr>
            <w:tcW w:type="dxa" w:w="3312"/>
            <w:shd w:fill="0F172A"/>
            <w:tcMar>
              <w:top w:w="100" w:type="dxa"/>
              <w:bottom w:w="100" w:type="dxa"/>
              <w:left w:w="140" w:type="dxa"/>
              <w:right w:w="140" w:type="dxa"/>
            </w:tcMar>
          </w:tcPr>
          <w:p>
            <w:r>
              <w:rPr>
                <w:rFonts w:ascii="Arial" w:hAnsi="Arial"/>
                <w:b/>
                <w:color w:val="FFFFFF"/>
                <w:sz w:val="20"/>
              </w:rPr>
              <w:t>Functionality</w:t>
            </w:r>
          </w:p>
        </w:tc>
      </w:tr>
      <w:tr>
        <w:tc>
          <w:tcPr>
            <w:tcW w:type="dxa" w:w="3312"/>
            <w:shd w:fill="FFFFFF"/>
            <w:tcMar>
              <w:top w:w="80" w:type="dxa"/>
              <w:bottom w:w="80" w:type="dxa"/>
              <w:left w:w="120" w:type="dxa"/>
              <w:right w:w="120" w:type="dxa"/>
            </w:tcMar>
          </w:tcPr>
          <w:p>
            <w:r>
              <w:rPr>
                <w:rFonts w:ascii="Arial" w:hAnsi="Arial"/>
                <w:b/>
                <w:color w:val="10B981"/>
                <w:sz w:val="19"/>
              </w:rPr>
              <w:t>POST</w:t>
            </w:r>
          </w:p>
        </w:tc>
        <w:tc>
          <w:tcPr>
            <w:tcW w:type="dxa" w:w="3312"/>
            <w:shd w:fill="FFFFFF"/>
            <w:tcMar>
              <w:top w:w="80" w:type="dxa"/>
              <w:bottom w:w="80" w:type="dxa"/>
              <w:left w:w="120" w:type="dxa"/>
              <w:right w:w="120" w:type="dxa"/>
            </w:tcMar>
          </w:tcPr>
          <w:p>
            <w:r>
              <w:rPr>
                <w:rFonts w:ascii="Arial" w:hAnsi="Arial"/>
                <w:color w:val="1E293B"/>
                <w:sz w:val="19"/>
              </w:rPr>
              <w:t>/api/auth/login</w:t>
            </w:r>
          </w:p>
        </w:tc>
        <w:tc>
          <w:tcPr>
            <w:tcW w:type="dxa" w:w="3312"/>
            <w:shd w:fill="FFFFFF"/>
            <w:tcMar>
              <w:top w:w="80" w:type="dxa"/>
              <w:bottom w:w="80" w:type="dxa"/>
              <w:left w:w="120" w:type="dxa"/>
              <w:right w:w="120" w:type="dxa"/>
            </w:tcMar>
          </w:tcPr>
          <w:p>
            <w:r>
              <w:rPr>
                <w:rFonts w:ascii="Arial" w:hAnsi="Arial"/>
                <w:color w:val="1E293B"/>
                <w:sz w:val="19"/>
              </w:rPr>
              <w:t>Authenticate operator and issue JWT access token.</w:t>
            </w:r>
          </w:p>
        </w:tc>
      </w:tr>
      <w:tr>
        <w:tc>
          <w:tcPr>
            <w:tcW w:type="dxa" w:w="3312"/>
            <w:shd w:fill="F8FAFC"/>
            <w:tcMar>
              <w:top w:w="80" w:type="dxa"/>
              <w:bottom w:w="80" w:type="dxa"/>
              <w:left w:w="120" w:type="dxa"/>
              <w:right w:w="120" w:type="dxa"/>
            </w:tcMar>
          </w:tcPr>
          <w:p>
            <w:r>
              <w:rPr>
                <w:rFonts w:ascii="Arial" w:hAnsi="Arial"/>
                <w:b/>
                <w:color w:val="0284C7"/>
                <w:sz w:val="19"/>
              </w:rPr>
              <w:t>GET</w:t>
            </w:r>
          </w:p>
        </w:tc>
        <w:tc>
          <w:tcPr>
            <w:tcW w:type="dxa" w:w="3312"/>
            <w:shd w:fill="F8FAFC"/>
            <w:tcMar>
              <w:top w:w="80" w:type="dxa"/>
              <w:bottom w:w="80" w:type="dxa"/>
              <w:left w:w="120" w:type="dxa"/>
              <w:right w:w="120" w:type="dxa"/>
            </w:tcMar>
          </w:tcPr>
          <w:p>
            <w:r>
              <w:rPr>
                <w:rFonts w:ascii="Arial" w:hAnsi="Arial"/>
                <w:color w:val="1E293B"/>
                <w:sz w:val="19"/>
              </w:rPr>
              <w:t>/api/auth/me</w:t>
            </w:r>
          </w:p>
        </w:tc>
        <w:tc>
          <w:tcPr>
            <w:tcW w:type="dxa" w:w="3312"/>
            <w:shd w:fill="F8FAFC"/>
            <w:tcMar>
              <w:top w:w="80" w:type="dxa"/>
              <w:bottom w:w="80" w:type="dxa"/>
              <w:left w:w="120" w:type="dxa"/>
              <w:right w:w="120" w:type="dxa"/>
            </w:tcMar>
          </w:tcPr>
          <w:p>
            <w:r>
              <w:rPr>
                <w:rFonts w:ascii="Arial" w:hAnsi="Arial"/>
                <w:color w:val="1E293B"/>
                <w:sz w:val="19"/>
              </w:rPr>
              <w:t>Verify token and retrieve authenticated profile.</w:t>
            </w:r>
          </w:p>
        </w:tc>
      </w:tr>
      <w:tr>
        <w:tc>
          <w:tcPr>
            <w:tcW w:type="dxa" w:w="3312"/>
            <w:shd w:fill="FFFFFF"/>
            <w:tcMar>
              <w:top w:w="80" w:type="dxa"/>
              <w:bottom w:w="80" w:type="dxa"/>
              <w:left w:w="120" w:type="dxa"/>
              <w:right w:w="120" w:type="dxa"/>
            </w:tcMar>
          </w:tcPr>
          <w:p>
            <w:r>
              <w:rPr>
                <w:rFonts w:ascii="Arial" w:hAnsi="Arial"/>
                <w:b/>
                <w:color w:val="0284C7"/>
                <w:sz w:val="19"/>
              </w:rPr>
              <w:t>GET</w:t>
            </w:r>
          </w:p>
        </w:tc>
        <w:tc>
          <w:tcPr>
            <w:tcW w:type="dxa" w:w="3312"/>
            <w:shd w:fill="FFFFFF"/>
            <w:tcMar>
              <w:top w:w="80" w:type="dxa"/>
              <w:bottom w:w="80" w:type="dxa"/>
              <w:left w:w="120" w:type="dxa"/>
              <w:right w:w="120" w:type="dxa"/>
            </w:tcMar>
          </w:tcPr>
          <w:p>
            <w:r>
              <w:rPr>
                <w:rFonts w:ascii="Arial" w:hAnsi="Arial"/>
                <w:color w:val="1E293B"/>
                <w:sz w:val="19"/>
              </w:rPr>
              <w:t>/api/projects</w:t>
            </w:r>
          </w:p>
        </w:tc>
        <w:tc>
          <w:tcPr>
            <w:tcW w:type="dxa" w:w="3312"/>
            <w:shd w:fill="FFFFFF"/>
            <w:tcMar>
              <w:top w:w="80" w:type="dxa"/>
              <w:bottom w:w="80" w:type="dxa"/>
              <w:left w:w="120" w:type="dxa"/>
              <w:right w:w="120" w:type="dxa"/>
            </w:tcMar>
          </w:tcPr>
          <w:p>
            <w:r>
              <w:rPr>
                <w:rFonts w:ascii="Arial" w:hAnsi="Arial"/>
                <w:color w:val="1E293B"/>
                <w:sz w:val="19"/>
              </w:rPr>
              <w:t>List all conservation projects with aggregated hectares and carbon stock.</w:t>
            </w:r>
          </w:p>
        </w:tc>
      </w:tr>
      <w:tr>
        <w:tc>
          <w:tcPr>
            <w:tcW w:type="dxa" w:w="3312"/>
            <w:shd w:fill="F8FAFC"/>
            <w:tcMar>
              <w:top w:w="80" w:type="dxa"/>
              <w:bottom w:w="80" w:type="dxa"/>
              <w:left w:w="120" w:type="dxa"/>
              <w:right w:w="120" w:type="dxa"/>
            </w:tcMar>
          </w:tcPr>
          <w:p>
            <w:r>
              <w:rPr>
                <w:rFonts w:ascii="Arial" w:hAnsi="Arial"/>
                <w:b/>
                <w:color w:val="10B981"/>
                <w:sz w:val="19"/>
              </w:rPr>
              <w:t>POST</w:t>
            </w:r>
          </w:p>
        </w:tc>
        <w:tc>
          <w:tcPr>
            <w:tcW w:type="dxa" w:w="3312"/>
            <w:shd w:fill="F8FAFC"/>
            <w:tcMar>
              <w:top w:w="80" w:type="dxa"/>
              <w:bottom w:w="80" w:type="dxa"/>
              <w:left w:w="120" w:type="dxa"/>
              <w:right w:w="120" w:type="dxa"/>
            </w:tcMar>
          </w:tcPr>
          <w:p>
            <w:r>
              <w:rPr>
                <w:rFonts w:ascii="Arial" w:hAnsi="Arial"/>
                <w:color w:val="1E293B"/>
                <w:sz w:val="19"/>
              </w:rPr>
              <w:t>/api/projects</w:t>
            </w:r>
          </w:p>
        </w:tc>
        <w:tc>
          <w:tcPr>
            <w:tcW w:type="dxa" w:w="3312"/>
            <w:shd w:fill="F8FAFC"/>
            <w:tcMar>
              <w:top w:w="80" w:type="dxa"/>
              <w:bottom w:w="80" w:type="dxa"/>
              <w:left w:w="120" w:type="dxa"/>
              <w:right w:w="120" w:type="dxa"/>
            </w:tcMar>
          </w:tcPr>
          <w:p>
            <w:r>
              <w:rPr>
                <w:rFonts w:ascii="Arial" w:hAnsi="Arial"/>
                <w:color w:val="1E293B"/>
                <w:sz w:val="19"/>
              </w:rPr>
              <w:t>Create a new project domain (supports token or fallback demo auth).</w:t>
            </w:r>
          </w:p>
        </w:tc>
      </w:tr>
      <w:tr>
        <w:tc>
          <w:tcPr>
            <w:tcW w:type="dxa" w:w="3312"/>
            <w:shd w:fill="FFFFFF"/>
            <w:tcMar>
              <w:top w:w="80" w:type="dxa"/>
              <w:bottom w:w="80" w:type="dxa"/>
              <w:left w:w="120" w:type="dxa"/>
              <w:right w:w="120" w:type="dxa"/>
            </w:tcMar>
          </w:tcPr>
          <w:p>
            <w:r>
              <w:rPr>
                <w:rFonts w:ascii="Arial" w:hAnsi="Arial"/>
                <w:b/>
                <w:color w:val="0284C7"/>
                <w:sz w:val="19"/>
              </w:rPr>
              <w:t>GET</w:t>
            </w:r>
          </w:p>
        </w:tc>
        <w:tc>
          <w:tcPr>
            <w:tcW w:type="dxa" w:w="3312"/>
            <w:shd w:fill="FFFFFF"/>
            <w:tcMar>
              <w:top w:w="80" w:type="dxa"/>
              <w:bottom w:w="80" w:type="dxa"/>
              <w:left w:w="120" w:type="dxa"/>
              <w:right w:w="120" w:type="dxa"/>
            </w:tcMar>
          </w:tcPr>
          <w:p>
            <w:r>
              <w:rPr>
                <w:rFonts w:ascii="Arial" w:hAnsi="Arial"/>
                <w:color w:val="1E293B"/>
                <w:sz w:val="19"/>
              </w:rPr>
              <w:t>/api/sites/geojson</w:t>
            </w:r>
          </w:p>
        </w:tc>
        <w:tc>
          <w:tcPr>
            <w:tcW w:type="dxa" w:w="3312"/>
            <w:shd w:fill="FFFFFF"/>
            <w:tcMar>
              <w:top w:w="80" w:type="dxa"/>
              <w:bottom w:w="80" w:type="dxa"/>
              <w:left w:w="120" w:type="dxa"/>
              <w:right w:w="120" w:type="dxa"/>
            </w:tcMar>
          </w:tcPr>
          <w:p>
            <w:r>
              <w:rPr>
                <w:rFonts w:ascii="Arial" w:hAnsi="Arial"/>
                <w:color w:val="1E293B"/>
                <w:sz w:val="19"/>
              </w:rPr>
              <w:t>Return standardized GeoJSON FeatureCollection of all polygon boundaries.</w:t>
            </w:r>
          </w:p>
        </w:tc>
      </w:tr>
      <w:tr>
        <w:tc>
          <w:tcPr>
            <w:tcW w:type="dxa" w:w="3312"/>
            <w:shd w:fill="F8FAFC"/>
            <w:tcMar>
              <w:top w:w="80" w:type="dxa"/>
              <w:bottom w:w="80" w:type="dxa"/>
              <w:left w:w="120" w:type="dxa"/>
              <w:right w:w="120" w:type="dxa"/>
            </w:tcMar>
          </w:tcPr>
          <w:p>
            <w:r>
              <w:rPr>
                <w:rFonts w:ascii="Arial" w:hAnsi="Arial"/>
                <w:b/>
                <w:color w:val="10B981"/>
                <w:sz w:val="19"/>
              </w:rPr>
              <w:t>POST</w:t>
            </w:r>
          </w:p>
        </w:tc>
        <w:tc>
          <w:tcPr>
            <w:tcW w:type="dxa" w:w="3312"/>
            <w:shd w:fill="F8FAFC"/>
            <w:tcMar>
              <w:top w:w="80" w:type="dxa"/>
              <w:bottom w:w="80" w:type="dxa"/>
              <w:left w:w="120" w:type="dxa"/>
              <w:right w:w="120" w:type="dxa"/>
            </w:tcMar>
          </w:tcPr>
          <w:p>
            <w:r>
              <w:rPr>
                <w:rFonts w:ascii="Arial" w:hAnsi="Arial"/>
                <w:color w:val="1E293B"/>
                <w:sz w:val="19"/>
              </w:rPr>
              <w:t>/api/sites/project/{id}</w:t>
            </w:r>
          </w:p>
        </w:tc>
        <w:tc>
          <w:tcPr>
            <w:tcW w:type="dxa" w:w="3312"/>
            <w:shd w:fill="F8FAFC"/>
            <w:tcMar>
              <w:top w:w="80" w:type="dxa"/>
              <w:bottom w:w="80" w:type="dxa"/>
              <w:left w:w="120" w:type="dxa"/>
              <w:right w:w="120" w:type="dxa"/>
            </w:tcMar>
          </w:tcPr>
          <w:p>
            <w:r>
              <w:rPr>
                <w:rFonts w:ascii="Arial" w:hAnsi="Arial"/>
                <w:color w:val="1E293B"/>
                <w:sz w:val="19"/>
              </w:rPr>
              <w:t>Ingest drawn GeoJSON polygon, compute geodesic area, and synthesize telemetry.</w:t>
            </w:r>
          </w:p>
        </w:tc>
      </w:tr>
      <w:tr>
        <w:tc>
          <w:tcPr>
            <w:tcW w:type="dxa" w:w="3312"/>
            <w:shd w:fill="FFFFFF"/>
            <w:tcMar>
              <w:top w:w="80" w:type="dxa"/>
              <w:bottom w:w="80" w:type="dxa"/>
              <w:left w:w="120" w:type="dxa"/>
              <w:right w:w="120" w:type="dxa"/>
            </w:tcMar>
          </w:tcPr>
          <w:p>
            <w:r>
              <w:rPr>
                <w:rFonts w:ascii="Arial" w:hAnsi="Arial"/>
                <w:b/>
                <w:color w:val="0284C7"/>
                <w:sz w:val="19"/>
              </w:rPr>
              <w:t>GET</w:t>
            </w:r>
          </w:p>
        </w:tc>
        <w:tc>
          <w:tcPr>
            <w:tcW w:type="dxa" w:w="3312"/>
            <w:shd w:fill="FFFFFF"/>
            <w:tcMar>
              <w:top w:w="80" w:type="dxa"/>
              <w:bottom w:w="80" w:type="dxa"/>
              <w:left w:w="120" w:type="dxa"/>
              <w:right w:w="120" w:type="dxa"/>
            </w:tcMar>
          </w:tcPr>
          <w:p>
            <w:r>
              <w:rPr>
                <w:rFonts w:ascii="Arial" w:hAnsi="Arial"/>
                <w:color w:val="1E293B"/>
                <w:sz w:val="19"/>
              </w:rPr>
              <w:t>/api/sites/{id}/analytics</w:t>
            </w:r>
          </w:p>
        </w:tc>
        <w:tc>
          <w:tcPr>
            <w:tcW w:type="dxa" w:w="3312"/>
            <w:shd w:fill="FFFFFF"/>
            <w:tcMar>
              <w:top w:w="80" w:type="dxa"/>
              <w:bottom w:w="80" w:type="dxa"/>
              <w:left w:w="120" w:type="dxa"/>
              <w:right w:w="120" w:type="dxa"/>
            </w:tcMar>
          </w:tcPr>
          <w:p>
            <w:r>
              <w:rPr>
                <w:rFonts w:ascii="Arial" w:hAnsi="Arial"/>
                <w:color w:val="1E293B"/>
                <w:sz w:val="19"/>
              </w:rPr>
              <w:t>Retrieve historical 12-month NDVI, carbon, biodiversity, and climate datasets.</w:t>
            </w:r>
          </w:p>
        </w:tc>
      </w:tr>
    </w:tbl>
    <w:p>
      <w:pPr>
        <w:spacing w:before="360" w:after="120"/>
      </w:pPr>
      <w:r>
        <w:rPr>
          <w:rFonts w:ascii="Arial" w:hAnsi="Arial"/>
          <w:b/>
          <w:color w:val="0F172A"/>
          <w:sz w:val="32"/>
        </w:rPr>
        <w:t>7. Cloud Deployment Architecture</w:t>
      </w:r>
    </w:p>
    <w:p>
      <w:pPr>
        <w:spacing w:before="0" w:after="120" w:line="276" w:lineRule="auto"/>
      </w:pPr>
      <w:r>
        <w:rPr>
          <w:rFonts w:ascii="Arial" w:hAnsi="Arial"/>
          <w:color w:val="1E293B"/>
          <w:sz w:val="20"/>
        </w:rPr>
        <w:t>EcoAtlas is architected for seamless multi-cloud distribution:</w:t>
      </w:r>
    </w:p>
    <w:p>
      <w:pPr>
        <w:pStyle w:val="ListBullet"/>
        <w:spacing w:before="0" w:after="60" w:line="276" w:lineRule="auto"/>
      </w:pPr>
      <w:r>
        <w:rPr>
          <w:rFonts w:ascii="Arial" w:hAnsi="Arial"/>
          <w:b/>
          <w:color w:val="0F172A"/>
          <w:sz w:val="19"/>
        </w:rPr>
        <w:t>Database Layer (Neon.tech):</w:t>
      </w:r>
      <w:r>
        <w:rPr>
          <w:rFonts w:ascii="Arial" w:hAnsi="Arial"/>
          <w:color w:val="1E293B"/>
          <w:sz w:val="19"/>
        </w:rPr>
        <w:t xml:space="preserve"> Neon Serverless PostgreSQL with auto-provisioned schemas and instantaneous connection pooling.</w:t>
      </w:r>
    </w:p>
    <w:p>
      <w:pPr>
        <w:pStyle w:val="ListBullet"/>
        <w:spacing w:before="0" w:after="60" w:line="276" w:lineRule="auto"/>
      </w:pPr>
      <w:r>
        <w:rPr>
          <w:rFonts w:ascii="Arial" w:hAnsi="Arial"/>
          <w:b/>
          <w:color w:val="0F172A"/>
          <w:sz w:val="19"/>
        </w:rPr>
        <w:t>Backend Layer (Render.com):</w:t>
      </w:r>
      <w:r>
        <w:rPr>
          <w:rFonts w:ascii="Arial" w:hAnsi="Arial"/>
          <w:color w:val="1E293B"/>
          <w:sz w:val="19"/>
        </w:rPr>
        <w:t xml:space="preserve"> Python 3.12 Web Service running Uvicorn with automated table creation, on-the-fly admin provisioning, and wildcard CORS regex support.</w:t>
      </w:r>
    </w:p>
    <w:p>
      <w:pPr>
        <w:pStyle w:val="ListBullet"/>
        <w:spacing w:before="0" w:after="60" w:line="276" w:lineRule="auto"/>
      </w:pPr>
      <w:r>
        <w:rPr>
          <w:rFonts w:ascii="Arial" w:hAnsi="Arial"/>
          <w:b/>
          <w:color w:val="0F172A"/>
          <w:sz w:val="19"/>
        </w:rPr>
        <w:t>Frontend Layer (Vercel.com):</w:t>
      </w:r>
      <w:r>
        <w:rPr>
          <w:rFonts w:ascii="Arial" w:hAnsi="Arial"/>
          <w:color w:val="1E293B"/>
          <w:sz w:val="19"/>
        </w:rPr>
        <w:t xml:space="preserve"> Single Page Application with dynamic Vite bundler and vercel.json client-side routing rewrites.</w:t>
      </w:r>
    </w:p>
    <w:p>
      <w:pPr>
        <w:spacing w:before="360" w:after="120"/>
      </w:pPr>
      <w:r>
        <w:rPr>
          <w:rFonts w:ascii="Arial" w:hAnsi="Arial"/>
          <w:b/>
          <w:color w:val="0F172A"/>
          <w:sz w:val="32"/>
        </w:rPr>
        <w:t>8. Verification &amp; Quality Assurance</w:t>
      </w:r>
    </w:p>
    <w:p>
      <w:pPr>
        <w:spacing w:before="0" w:after="120" w:line="276" w:lineRule="auto"/>
      </w:pPr>
      <w:r>
        <w:rPr>
          <w:rFonts w:ascii="Arial" w:hAnsi="Arial"/>
          <w:color w:val="1E293B"/>
          <w:sz w:val="20"/>
        </w:rPr>
        <w:t>The platform is fortified with rigorous automated test coverage:</w:t>
      </w:r>
    </w:p>
    <w:p>
      <w:pPr>
        <w:pStyle w:val="ListBullet"/>
        <w:spacing w:before="0" w:after="60" w:line="276" w:lineRule="auto"/>
      </w:pPr>
      <w:r>
        <w:rPr>
          <w:rFonts w:ascii="Arial" w:hAnsi="Arial"/>
          <w:b/>
          <w:color w:val="0F172A"/>
          <w:sz w:val="19"/>
        </w:rPr>
        <w:t>Automated Pytest Suite:</w:t>
      </w:r>
      <w:r>
        <w:rPr>
          <w:rFonts w:ascii="Arial" w:hAnsi="Arial"/>
          <w:color w:val="1E293B"/>
          <w:sz w:val="19"/>
        </w:rPr>
        <w:t xml:space="preserve"> 6 passing automated tests covering token signing, cryptographic verification, user registration, project creation, and spatial area arithmetic.</w:t>
      </w:r>
    </w:p>
    <w:p>
      <w:pPr>
        <w:pStyle w:val="ListBullet"/>
        <w:spacing w:before="0" w:after="60" w:line="276" w:lineRule="auto"/>
      </w:pPr>
      <w:r>
        <w:rPr>
          <w:rFonts w:ascii="Arial" w:hAnsi="Arial"/>
          <w:b/>
          <w:color w:val="0F172A"/>
          <w:sz w:val="19"/>
        </w:rPr>
        <w:t>Integration Health Checks:</w:t>
      </w:r>
      <w:r>
        <w:rPr>
          <w:rFonts w:ascii="Arial" w:hAnsi="Arial"/>
          <w:color w:val="1E293B"/>
          <w:sz w:val="19"/>
        </w:rPr>
        <w:t xml:space="preserve"> 12-point live integration testing script verifying complete end-to-end API workflows with zero exceptions.</w:t>
      </w:r>
    </w:p>
    <w:p>
      <w:pPr>
        <w:pStyle w:val="ListBullet"/>
        <w:spacing w:before="0" w:after="60" w:line="276" w:lineRule="auto"/>
      </w:pPr>
      <w:r>
        <w:rPr>
          <w:rFonts w:ascii="Arial" w:hAnsi="Arial"/>
          <w:b/>
          <w:color w:val="0F172A"/>
          <w:sz w:val="19"/>
        </w:rPr>
        <w:t>Production Bundle Verification:</w:t>
      </w:r>
      <w:r>
        <w:rPr>
          <w:rFonts w:ascii="Arial" w:hAnsi="Arial"/>
          <w:color w:val="1E293B"/>
          <w:sz w:val="19"/>
        </w:rPr>
        <w:t xml:space="preserve"> Automated Vite production build verified in under 8 seconds with zero TypeScript or bundling errors.</w:t>
      </w:r>
    </w:p>
    <w:p>
      <w:pPr>
        <w:spacing w:after="400"/>
      </w:pPr>
    </w:p>
    <w:p>
      <w:pPr>
        <w:jc w:val="center"/>
      </w:pPr>
      <w:r>
        <w:rPr>
          <w:rFonts w:ascii="Arial" w:hAnsi="Arial"/>
          <w:i/>
          <w:color w:val="64748B"/>
          <w:sz w:val="19"/>
        </w:rPr>
        <w:t>— EcoAtlas: Empowering Ecological Integrity Through Open Geospatial Intelligence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