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40"/>
        </w:rPr>
        <w:t>TERRA-MIND: Multi-Agent AI Biodiversity &amp; Ecological Intelligence Engine</w:t>
      </w:r>
    </w:p>
    <w:p>
      <w:pPr>
        <w:jc w:val="center"/>
      </w:pPr>
      <w:r>
        <w:rPr>
          <w:i/>
          <w:color w:val="555555"/>
          <w:sz w:val="26"/>
        </w:rPr>
        <w:t>Darukaa.Earth AI Biodiversity Challenge — Official Submission Document</w:t>
      </w:r>
    </w:p>
    <w:p/>
    <w:p>
      <w:pPr>
        <w:pStyle w:val="Heading1"/>
      </w:pPr>
      <w:r>
        <w:t>1. Candidate &amp; Submission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</w:rPr>
              <w:t>Candidate Name</w:t>
            </w:r>
          </w:p>
        </w:tc>
        <w:tc>
          <w:tcPr>
            <w:tcW w:type="dxa" w:w="6624"/>
          </w:tcPr>
          <w:p>
            <w:r>
              <w:t>Atharav Dhumone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Challenge</w:t>
            </w:r>
          </w:p>
        </w:tc>
        <w:tc>
          <w:tcPr>
            <w:tcW w:type="dxa" w:w="6624"/>
          </w:tcPr>
          <w:p>
            <w:r>
              <w:t>Darukaa.Earth AI Biodiversity Intelligence Engine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GitHub Repository URL</w:t>
            </w:r>
          </w:p>
        </w:tc>
        <w:tc>
          <w:tcPr>
            <w:tcW w:type="dxa" w:w="6624"/>
          </w:tcPr>
          <w:p>
            <w:r>
              <w:t>https://github.com/&lt;your-username&gt;/terra-mind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Target LLM Architecture</w:t>
            </w:r>
          </w:p>
        </w:tc>
        <w:tc>
          <w:tcPr>
            <w:tcW w:type="dxa" w:w="6624"/>
          </w:tcPr>
          <w:p>
            <w:r>
              <w:t>LangGraph Multi-Agent StateGraph + Google Gemini 2.5 (Flash/Pro) + Hybrid ChromaDB RAG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Live Demo URL</w:t>
            </w:r>
          </w:p>
        </w:tc>
        <w:tc>
          <w:tcPr>
            <w:tcW w:type="dxa" w:w="6624"/>
          </w:tcPr>
          <w:p>
            <w:r>
              <w:t>Streamlit Cloud / Hugging Face Spaces (Instructions in Section 6)</w:t>
            </w:r>
          </w:p>
        </w:tc>
      </w:tr>
    </w:tbl>
    <w:p/>
    <w:p>
      <w:pPr>
        <w:pStyle w:val="Heading1"/>
      </w:pPr>
      <w:r>
        <w:t>2. Private Repository Collaborator Access</w:t>
      </w:r>
    </w:p>
    <w:p>
      <w:r>
        <w:t>As specified in the hackathon challenge guidelines, if the GitHub repository is set to private, full collaborator access is granted to the following four technical and executive evaluators at Darukaa.Earth:</w:t>
      </w:r>
    </w:p>
    <w:p>
      <w:pPr>
        <w:pStyle w:val="ListBullet"/>
      </w:pPr>
      <w:r>
        <w:t>ankita.dasgupta@darukaa.com — Ankita Dasgupta (Chief of Staff - Founders Office / Geospatial Engineer)</w:t>
      </w:r>
    </w:p>
    <w:p>
      <w:pPr>
        <w:pStyle w:val="ListBullet"/>
      </w:pPr>
      <w:r>
        <w:t>harsh.kumar@darukaa.com — Harsh Kumar (System Architecture &amp; Build / Senior SDE)</w:t>
      </w:r>
    </w:p>
    <w:p>
      <w:pPr>
        <w:pStyle w:val="ListBullet"/>
      </w:pPr>
      <w:r>
        <w:t>utkarsh.gauniyal@darukaa.com — Utkarsh Gauniyal (Core System Engineering)</w:t>
      </w:r>
    </w:p>
    <w:p>
      <w:pPr>
        <w:pStyle w:val="ListBullet"/>
      </w:pPr>
      <w:r>
        <w:t>guneet.mutreja@darukaa.com — Guneet Mutreja (Geospatial AI &amp; Climate Alliances)</w:t>
      </w:r>
    </w:p>
    <w:p/>
    <w:p>
      <w:pPr>
        <w:pStyle w:val="Heading1"/>
      </w:pPr>
      <w:r>
        <w:t>3. System Architecture &amp; Scientific Differentiators</w:t>
      </w:r>
    </w:p>
    <w:p>
      <w:r>
        <w:t>TERRA-MIND is designed to behave as an autonomous AI Environmental Scientist rather than a generic text generator. It solves the critical failure mode of traditional LLM wrappers by coupling multi-modal ecological variables into biophysical cascades backed by authoritative scientific research (FAO, IPCC AR6, IPBES, ICRAF, IUCN).</w:t>
      </w:r>
    </w:p>
    <w:p>
      <w:pPr>
        <w:pStyle w:val="Heading2"/>
      </w:pPr>
      <w:r>
        <w:t>Core Technical Highlights:</w:t>
      </w:r>
    </w:p>
    <w:p>
      <w:pPr>
        <w:pStyle w:val="ListBullet"/>
      </w:pPr>
      <w:r>
        <w:rPr>
          <w:b/>
        </w:rPr>
        <w:t xml:space="preserve">Multi-Metric Coupling Matrix (30% Evaluation Weight): </w:t>
      </w:r>
      <w:r>
        <w:t>Enforces simultaneous biophysical reasoning across &gt;= 3 variables (e.g. Soil Organic Carbon x Aridity/Precipitation x Crop Monoculture -&gt; Infiltration &amp; Microbial Respiration). Prevents single-variable, shallow suggestions.</w:t>
      </w:r>
    </w:p>
    <w:p>
      <w:pPr>
        <w:pStyle w:val="ListBullet"/>
      </w:pPr>
      <w:r>
        <w:rPr>
          <w:b/>
        </w:rPr>
        <w:t xml:space="preserve">Academic Citation &amp; Audit Engine (25% Weight): </w:t>
      </w:r>
      <w:r>
        <w:t>Every recommendation contains strict quantitative percentage deltas (e.g. +15-25% SOC over 24-36 months, +128% water infiltration) directly tied to FAO (2020), IPCC AR6 WG2, IPBES (2019), ICRAF, or IUCN datasets with verifiable DOIs.</w:t>
      </w:r>
    </w:p>
    <w:p>
      <w:pPr>
        <w:pStyle w:val="ListBullet"/>
      </w:pPr>
      <w:r>
        <w:rPr>
          <w:b/>
        </w:rPr>
        <w:t xml:space="preserve">ChromaDB Hybrid Knowledge Retrieval (20% Weight): </w:t>
      </w:r>
      <w:r>
        <w:t>Dense vector embeddings (HuggingFace all-MiniLM-L6-v2) indexed across 5 ecological pillars: Soil Health, Land Use/Cover, Biodiversity Indicators, Climate Factors, and Coastal Blue Carbon.</w:t>
      </w:r>
    </w:p>
    <w:p>
      <w:pPr>
        <w:pStyle w:val="ListBullet"/>
      </w:pPr>
      <w:r>
        <w:rPr>
          <w:b/>
        </w:rPr>
        <w:t xml:space="preserve">LangGraph Multi-Turn Cyclical StateGraph (15% Weight): </w:t>
      </w:r>
      <w:r>
        <w:t>Evaluates input completeness score across 5 environmental dimensions. Automatically triggers intelligent clarifying questions when inputs are ambiguous or incomplete before attempting to prescribe intervention protocols.</w:t>
      </w:r>
    </w:p>
    <w:p>
      <w:pPr>
        <w:pStyle w:val="ListBullet"/>
      </w:pPr>
      <w:r>
        <w:rPr>
          <w:b/>
        </w:rPr>
        <w:t xml:space="preserve">Strict Pydantic v2 Schema Enforcement (10% Weight): </w:t>
      </w:r>
      <w:r>
        <w:t>Both REST API and Streamlit UI consume and emit validated Pydantic v2 schemas guaranteeing Actionable Protocols, Impacted Metrics, Time Horizons (Short/Med/Long), and Confidence Scores.</w:t>
      </w:r>
    </w:p>
    <w:p/>
    <w:p>
      <w:pPr>
        <w:pStyle w:val="Heading1"/>
      </w:pPr>
      <w:r>
        <w:t>4. Multi-Agent LangGraph Reasoning Flow</w:t>
      </w:r>
    </w:p>
    <w:p>
      <w:r>
        <w:t>1. User Input Intake: Accepts unstructured text, structured JSON payload, or geographic coordinates.</w:t>
      </w:r>
    </w:p>
    <w:p>
      <w:r>
        <w:t>2. triage_node: Assesses completeness across Soil, Climate, Land Cover, and Spatial context. If score &lt; 0.5 and query is vague, conditionally routes to clarification_node.</w:t>
      </w:r>
    </w:p>
    <w:p>
      <w:r>
        <w:t>3. clarification_node: Generates targeted follow-up questions targeting missing scientific metrics and terminates turn cleanly.</w:t>
      </w:r>
    </w:p>
    <w:p>
      <w:r>
        <w:t>4. spatial_reasoning_node: Deterministically maps coordinates to Koppen Climate Classification, Ecoregion (Deccan, Western Ghats, Thar, Sundarbans, Brahmaputra), baseline precipitation, and vulnerability factors.</w:t>
      </w:r>
    </w:p>
    <w:p>
      <w:r>
        <w:t>5. MultiMetricReasoningEngine: Computes biophysical interaction nexuses coupling &gt;= 3 variables simultaneously with quantitative baselines.</w:t>
      </w:r>
    </w:p>
    <w:p>
      <w:r>
        <w:t>6. retrieval_node: Semantic hybrid search into ChromaDB vector knowledge base retrieving relevant peer-reviewed studies.</w:t>
      </w:r>
    </w:p>
    <w:p>
      <w:r>
        <w:t>7. synthesis_auditor_node: Synthesizes final intervention recommendations using Google Gemini 2.5, audit-checks against citations, applies confidence scores, and emits Pydantic v2 output.</w:t>
      </w:r>
    </w:p>
    <w:p/>
    <w:p>
      <w:pPr>
        <w:pStyle w:val="Heading1"/>
      </w:pPr>
      <w:r>
        <w:t>5. Ingested Scientific Knowledge Base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Citation ID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Authoritative Source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Focus Domain &amp; Grounding</w:t>
            </w:r>
          </w:p>
        </w:tc>
      </w:tr>
      <w:tr>
        <w:tc>
          <w:tcPr>
            <w:tcW w:type="dxa" w:w="3312"/>
          </w:tcPr>
          <w:p>
            <w:r>
              <w:t>FAO-SOC-2020-01</w:t>
            </w:r>
          </w:p>
        </w:tc>
        <w:tc>
          <w:tcPr>
            <w:tcW w:type="dxa" w:w="3312"/>
          </w:tcPr>
          <w:p>
            <w:r>
              <w:t>Food &amp; Agriculture Organization (FAO)</w:t>
            </w:r>
          </w:p>
        </w:tc>
        <w:tc>
          <w:tcPr>
            <w:tcW w:type="dxa" w:w="3312"/>
          </w:tcPr>
          <w:p>
            <w:r>
              <w:t>Soil organic carbon protocols; cover-crop rhizodeposition (+15-25% SOC).</w:t>
            </w:r>
          </w:p>
        </w:tc>
      </w:tr>
      <w:tr>
        <w:tc>
          <w:tcPr>
            <w:tcW w:type="dxa" w:w="3312"/>
          </w:tcPr>
          <w:p>
            <w:r>
              <w:t>IPCC-AR6-WG2-CH05</w:t>
            </w:r>
          </w:p>
        </w:tc>
        <w:tc>
          <w:tcPr>
            <w:tcW w:type="dxa" w:w="3312"/>
          </w:tcPr>
          <w:p>
            <w:r>
              <w:t>IPCC Assessment Report 6 (WGII)</w:t>
            </w:r>
          </w:p>
        </w:tc>
        <w:tc>
          <w:tcPr>
            <w:tcW w:type="dxa" w:w="3312"/>
          </w:tcPr>
          <w:p>
            <w:r>
              <w:t>Diversified agro-ecological intercropping; +20-35% water-use efficiency.</w:t>
            </w:r>
          </w:p>
        </w:tc>
      </w:tr>
      <w:tr>
        <w:tc>
          <w:tcPr>
            <w:tcW w:type="dxa" w:w="3312"/>
          </w:tcPr>
          <w:p>
            <w:r>
              <w:t>IPBES-GA-2019-CH03</w:t>
            </w:r>
          </w:p>
        </w:tc>
        <w:tc>
          <w:tcPr>
            <w:tcW w:type="dxa" w:w="3312"/>
          </w:tcPr>
          <w:p>
            <w:r>
              <w:t>IPBES Global Biodiversity Assessment</w:t>
            </w:r>
          </w:p>
        </w:tc>
        <w:tc>
          <w:tcPr>
            <w:tcW w:type="dxa" w:w="3312"/>
          </w:tcPr>
          <w:p>
            <w:r>
              <w:t>Biological corridor connectivity; +0.35-0.60 Shannon-Wiener Diversity H'.</w:t>
            </w:r>
          </w:p>
        </w:tc>
      </w:tr>
      <w:tr>
        <w:tc>
          <w:tcPr>
            <w:tcW w:type="dxa" w:w="3312"/>
          </w:tcPr>
          <w:p>
            <w:r>
              <w:t>ICRAF-AGRO-2019-01</w:t>
            </w:r>
          </w:p>
        </w:tc>
        <w:tc>
          <w:tcPr>
            <w:tcW w:type="dxa" w:w="3312"/>
          </w:tcPr>
          <w:p>
            <w:r>
              <w:t>World Agroforestry Centre (ICRAF)</w:t>
            </w:r>
          </w:p>
        </w:tc>
        <w:tc>
          <w:tcPr>
            <w:tcW w:type="dxa" w:w="3312"/>
          </w:tcPr>
          <w:p>
            <w:r>
              <w:t>Perennial shelterbelts &amp; groundwater recharge (+35-60% infiltration).</w:t>
            </w:r>
          </w:p>
        </w:tc>
      </w:tr>
      <w:tr>
        <w:tc>
          <w:tcPr>
            <w:tcW w:type="dxa" w:w="3312"/>
          </w:tcPr>
          <w:p>
            <w:r>
              <w:t>IUCN-MANG-2021-01</w:t>
            </w:r>
          </w:p>
        </w:tc>
        <w:tc>
          <w:tcPr>
            <w:tcW w:type="dxa" w:w="3312"/>
          </w:tcPr>
          <w:p>
            <w:r>
              <w:t>IUCN / TNC Blue Carbon</w:t>
            </w:r>
          </w:p>
        </w:tc>
        <w:tc>
          <w:tcPr>
            <w:tcW w:type="dxa" w:w="3312"/>
          </w:tcPr>
          <w:p>
            <w:r>
              <w:t>Tidal mangrove restoration; 6-8 tCO2e/ha/yr blue carbon sequestration.</w:t>
            </w:r>
          </w:p>
        </w:tc>
      </w:tr>
    </w:tbl>
    <w:p/>
    <w:p>
      <w:pPr>
        <w:pStyle w:val="Heading1"/>
      </w:pPr>
      <w:r>
        <w:t>6. Local Setup, Testing &amp; Deployment Instructions</w:t>
      </w:r>
    </w:p>
    <w:p>
      <w:r>
        <w:t>1. Install Dependencies:</w:t>
        <w:br/>
        <w:t xml:space="preserve">   pip install -r requirements.txt</w:t>
        <w:br/>
        <w:br/>
        <w:t>2. Ingest Knowledge Base into ChromaDB:</w:t>
        <w:br/>
        <w:t xml:space="preserve">   python knowledge_base/ingestion_pipeline.py</w:t>
        <w:br/>
        <w:br/>
        <w:t>3. Run 100% Automated Test Suite (15/15 tests passing):</w:t>
        <w:br/>
        <w:t xml:space="preserve">   pytest tests/ -v</w:t>
        <w:br/>
        <w:br/>
        <w:t>4. Run FastAPI Backend (Swagger docs at http://localhost:8000/docs):</w:t>
        <w:br/>
        <w:t xml:space="preserve">   uvicorn src.api.app:app --host 0.0.0.0 --port 8000 --reload</w:t>
        <w:br/>
        <w:br/>
        <w:t>5. Run Interactive Streamlit UI (http://localhost:8501):</w:t>
        <w:br/>
        <w:t xml:space="preserve">   streamlit run ui/streamlit_app.py</w:t>
        <w:br/>
        <w:br/>
        <w:t>6. Run with Docker Compose:</w:t>
        <w:br/>
        <w:t xml:space="preserve">   docker compose up --build</w:t>
      </w:r>
    </w:p>
    <w:p/>
    <w:p>
      <w:pPr>
        <w:pStyle w:val="Heading1"/>
      </w:pPr>
      <w:r>
        <w:t>7. Test Verification &amp; Quality Assurance (100% Pass)</w:t>
      </w:r>
    </w:p>
    <w:p>
      <w:r>
        <w:t>Automated test suite (pytest) execution results: 15 passed, 0 failed (100% success rate)</w:t>
      </w:r>
    </w:p>
    <w:p>
      <w:pPr>
        <w:pStyle w:val="ListBullet"/>
      </w:pPr>
      <w:r>
        <w:t>PASSED tests/test_engine.py::test_multi_metric_coupling_enforcement</w:t>
      </w:r>
    </w:p>
    <w:p>
      <w:pPr>
        <w:pStyle w:val="ListBullet"/>
      </w:pPr>
      <w:r>
        <w:t>PASSED tests/test_engine.py::test_fragmentation_nexus</w:t>
      </w:r>
    </w:p>
    <w:p>
      <w:pPr>
        <w:pStyle w:val="ListBullet"/>
      </w:pPr>
      <w:r>
        <w:t>PASSED tests/test_engine.py::test_general_fallback</w:t>
      </w:r>
    </w:p>
    <w:p>
      <w:pPr>
        <w:pStyle w:val="ListBullet"/>
      </w:pPr>
      <w:r>
        <w:t>PASSED tests/test_engine.py::test_projected_deltas_present</w:t>
      </w:r>
    </w:p>
    <w:p>
      <w:pPr>
        <w:pStyle w:val="ListBullet"/>
      </w:pPr>
      <w:r>
        <w:t>PASSED tests/test_graph_flow.py::test_graph_clarification_on_vague_input</w:t>
      </w:r>
    </w:p>
    <w:p>
      <w:pPr>
        <w:pStyle w:val="ListBullet"/>
      </w:pPr>
      <w:r>
        <w:t>PASSED tests/test_graph_flow.py::test_graph_scientific_reasoning</w:t>
      </w:r>
    </w:p>
    <w:p>
      <w:pPr>
        <w:pStyle w:val="ListBullet"/>
      </w:pPr>
      <w:r>
        <w:t>PASSED tests/test_graph_flow.py::test_graph_spatial_resolution</w:t>
      </w:r>
    </w:p>
    <w:p>
      <w:pPr>
        <w:pStyle w:val="ListBullet"/>
      </w:pPr>
      <w:r>
        <w:t>PASSED tests/test_retriever.py::test_retriever_returns_documents</w:t>
      </w:r>
    </w:p>
    <w:p>
      <w:pPr>
        <w:pStyle w:val="ListBullet"/>
      </w:pPr>
      <w:r>
        <w:t>PASSED tests/test_retriever.py::test_documents_have_metadata</w:t>
      </w:r>
    </w:p>
    <w:p>
      <w:pPr>
        <w:pStyle w:val="ListBullet"/>
      </w:pPr>
      <w:r>
        <w:t>PASSED tests/test_retriever.py::test_documents_have_content</w:t>
      </w:r>
    </w:p>
    <w:p>
      <w:pPr>
        <w:pStyle w:val="ListBullet"/>
      </w:pPr>
      <w:r>
        <w:t>PASSED tests/test_schemas.py::test_soil_metrics_valid</w:t>
      </w:r>
    </w:p>
    <w:p>
      <w:pPr>
        <w:pStyle w:val="ListBullet"/>
      </w:pPr>
      <w:r>
        <w:t>PASSED tests/test_schemas.py::test_soil_metrics_ph_out_of_range</w:t>
      </w:r>
    </w:p>
    <w:p>
      <w:pPr>
        <w:pStyle w:val="ListBullet"/>
      </w:pPr>
      <w:r>
        <w:t>PASSED tests/test_schemas.py::test_ecosystem_query_requires_text</w:t>
      </w:r>
    </w:p>
    <w:p>
      <w:pPr>
        <w:pStyle w:val="ListBullet"/>
      </w:pPr>
      <w:r>
        <w:t>PASSED tests/test_schemas.py::test_intervention_requires_3_coupled_variables</w:t>
      </w:r>
    </w:p>
    <w:p>
      <w:pPr>
        <w:pStyle w:val="ListBullet"/>
      </w:pPr>
      <w:r>
        <w:t>PASSED tests/test_schemas.py::test_clarification_structure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