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18304E"/>
          <w:sz w:val="31"/>
        </w:rPr>
        <w:t>Native Faucet Smart Contract</w:t>
      </w:r>
    </w:p>
    <w:p>
      <w:pPr>
        <w:spacing w:after="80"/>
        <w:jc w:val="center"/>
      </w:pPr>
      <w:r>
        <w:rPr>
          <w:rFonts w:ascii="Aptos" w:hAnsi="Aptos"/>
          <w:color w:val="5A626C"/>
          <w:sz w:val="17"/>
        </w:rPr>
        <w:t>Concise Specification • Non-upgradeable • EVM-compatible</w:t>
      </w:r>
    </w:p>
    <w:p>
      <w:pPr>
        <w:spacing w:before="70" w:after="20"/>
      </w:pPr>
      <w:r>
        <w:rPr>
          <w:rFonts w:ascii="Aptos Display" w:hAnsi="Aptos Display"/>
          <w:b/>
          <w:color w:val="1F3753"/>
          <w:sz w:val="20"/>
        </w:rPr>
        <w:t>1. Purpose</w:t>
      </w:r>
    </w:p>
    <w:p>
      <w:pPr>
        <w:spacing w:after="20"/>
      </w:pPr>
      <w:r>
        <w:rPr>
          <w:rFonts w:ascii="Aptos" w:hAnsi="Aptos"/>
          <w:sz w:val="17"/>
        </w:rPr>
        <w:t>NativeFaucet holds a limited amount of the chain's native currency and pays approved recipients through an authorized distributor. Eligibility, rate limiting and claim history are handled off-chain.</w:t>
      </w:r>
    </w:p>
    <w:p>
      <w:pPr>
        <w:spacing w:before="70" w:after="20"/>
      </w:pPr>
      <w:r>
        <w:rPr>
          <w:rFonts w:ascii="Aptos Display" w:hAnsi="Aptos Display"/>
          <w:b/>
          <w:color w:val="1F3753"/>
          <w:sz w:val="20"/>
        </w:rPr>
        <w:t>2.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rPr>
          <w:cantSplit/>
        </w:trPr>
        <w:tc>
          <w:tcPr>
            <w:tcW w:type="dxa" w:w="5429"/>
            <w:shd w:fill="D9E5F2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color w:val="18304E"/>
                <w:sz w:val="16"/>
              </w:rPr>
              <w:t>Role</w:t>
            </w:r>
          </w:p>
        </w:tc>
        <w:tc>
          <w:tcPr>
            <w:tcW w:type="dxa" w:w="5429"/>
            <w:shd w:fill="D9E5F2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color w:val="18304E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sz w:val="16"/>
              </w:rPr>
              <w:t>Admin</w:t>
            </w:r>
          </w:p>
        </w:tc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Configure limits, pause/unpause, manage distributor, withdraw/migrate funds.</w:t>
            </w:r>
          </w:p>
        </w:tc>
      </w:tr>
      <w:tr>
        <w:trPr>
          <w:cantSplit/>
        </w:trPr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sz w:val="16"/>
              </w:rPr>
              <w:t>Distributor</w:t>
            </w:r>
          </w:p>
        </w:tc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Backend signer that calls dispense() for approved claims; pays transaction gas.</w:t>
            </w:r>
          </w:p>
        </w:tc>
      </w:tr>
      <w:tr>
        <w:trPr>
          <w:cantSplit/>
        </w:trPr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sz w:val="16"/>
              </w:rPr>
              <w:t>Treasury</w:t>
            </w:r>
          </w:p>
        </w:tc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External reserve wallet that refills the faucet contract.</w:t>
            </w:r>
          </w:p>
        </w:tc>
      </w:tr>
      <w:tr>
        <w:trPr>
          <w:cantSplit/>
        </w:trPr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sz w:val="16"/>
              </w:rPr>
              <w:t>Recipient</w:t>
            </w:r>
          </w:p>
        </w:tc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Wallet receiving native currency; normally does not call the contract directly.</w:t>
            </w:r>
          </w:p>
        </w:tc>
      </w:tr>
    </w:tbl>
    <w:p>
      <w:pPr>
        <w:spacing w:before="70" w:after="20"/>
      </w:pPr>
      <w:r>
        <w:rPr>
          <w:rFonts w:ascii="Aptos Display" w:hAnsi="Aptos Display"/>
          <w:b/>
          <w:color w:val="1F3753"/>
          <w:sz w:val="20"/>
        </w:rPr>
        <w:t>3. State &amp; Data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rPr>
          <w:cantSplit/>
        </w:trPr>
        <w:tc>
          <w:tcPr>
            <w:tcW w:type="dxa" w:w="5429"/>
            <w:shd w:fill="E8EEF5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color w:val="18304E"/>
                <w:sz w:val="16"/>
              </w:rPr>
              <w:t>On-chain</w:t>
            </w:r>
          </w:p>
        </w:tc>
        <w:tc>
          <w:tcPr>
            <w:tcW w:type="dxa" w:w="5429"/>
            <w:shd w:fill="E8EEF5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color w:val="18304E"/>
                <w:sz w:val="16"/>
              </w:rPr>
              <w:t>Off-chain</w:t>
            </w:r>
          </w:p>
        </w:tc>
      </w:tr>
      <w:tr>
        <w:trPr>
          <w:cantSplit/>
        </w:trPr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maxPayout; spendingLimit; period spending</w:t>
            </w:r>
          </w:p>
        </w:tc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Wallet signature; cooldown; claim history</w:t>
            </w:r>
          </w:p>
        </w:tc>
      </w:tr>
      <w:tr>
        <w:trPr>
          <w:cantSplit/>
        </w:trPr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pause state; admin/distributor permissions</w:t>
            </w:r>
          </w:p>
        </w:tc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CAPTCHA; IP/account/Sybil controls</w:t>
            </w:r>
          </w:p>
        </w:tc>
      </w:tr>
      <w:tr>
        <w:trPr>
          <w:cantSplit/>
        </w:trPr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Payout/configuration events</w:t>
            </w:r>
          </w:p>
        </w:tc>
        <w:tc>
          <w:tcPr>
            <w:tcW w:type="dxa" w:w="542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Redis locks; PostgreSQL audit/analytics</w:t>
            </w:r>
          </w:p>
        </w:tc>
      </w:tr>
    </w:tbl>
    <w:p>
      <w:pPr>
        <w:spacing w:before="70" w:after="20"/>
      </w:pPr>
      <w:r>
        <w:rPr>
          <w:rFonts w:ascii="Aptos Display" w:hAnsi="Aptos Display"/>
          <w:b/>
          <w:color w:val="1F3753"/>
          <w:sz w:val="20"/>
        </w:rPr>
        <w:t>4. Core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9"/>
        <w:gridCol w:w="3619"/>
        <w:gridCol w:w="3619"/>
      </w:tblGrid>
      <w:tr>
        <w:trPr>
          <w:cantSplit/>
        </w:trPr>
        <w:tc>
          <w:tcPr>
            <w:tcW w:type="dxa" w:w="3619"/>
            <w:shd w:fill="D9E5F2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color w:val="18304E"/>
                <w:sz w:val="16"/>
              </w:rPr>
              <w:t>Function</w:t>
            </w:r>
          </w:p>
        </w:tc>
        <w:tc>
          <w:tcPr>
            <w:tcW w:type="dxa" w:w="3619"/>
            <w:shd w:fill="D9E5F2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color w:val="18304E"/>
                <w:sz w:val="16"/>
              </w:rPr>
              <w:t>Caller</w:t>
            </w:r>
          </w:p>
        </w:tc>
        <w:tc>
          <w:tcPr>
            <w:tcW w:type="dxa" w:w="3619"/>
            <w:shd w:fill="D9E5F2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color w:val="18304E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sz w:val="15"/>
              </w:rPr>
              <w:t>dispense(recipient, amount)</w:t>
            </w:r>
          </w:p>
        </w:tc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5"/>
              </w:rPr>
              <w:t>Distributor</w:t>
            </w:r>
          </w:p>
        </w:tc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5"/>
              </w:rPr>
              <w:t>Check limits, update accounting, transfer native currency, emit event.</w:t>
            </w:r>
          </w:p>
        </w:tc>
      </w:tr>
      <w:tr>
        <w:trPr>
          <w:cantSplit/>
        </w:trPr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sz w:val="15"/>
              </w:rPr>
              <w:t>setMaxPayout(amount)</w:t>
            </w:r>
          </w:p>
        </w:tc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5"/>
              </w:rPr>
              <w:t>Set maximum payout per transaction.</w:t>
            </w:r>
          </w:p>
        </w:tc>
      </w:tr>
      <w:tr>
        <w:trPr>
          <w:cantSplit/>
        </w:trPr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sz w:val="15"/>
              </w:rPr>
              <w:t>setSpendingLimit(amount)</w:t>
            </w:r>
          </w:p>
        </w:tc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5"/>
              </w:rPr>
              <w:t>Set maximum spending for the active period.</w:t>
            </w:r>
          </w:p>
        </w:tc>
      </w:tr>
      <w:tr>
        <w:trPr>
          <w:cantSplit/>
        </w:trPr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sz w:val="15"/>
              </w:rPr>
              <w:t>pause() / unpause()</w:t>
            </w:r>
          </w:p>
        </w:tc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5"/>
              </w:rPr>
              <w:t>Stop or resume payouts.</w:t>
            </w:r>
          </w:p>
        </w:tc>
      </w:tr>
      <w:tr>
        <w:trPr>
          <w:cantSplit/>
        </w:trPr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sz w:val="15"/>
              </w:rPr>
              <w:t>withdraw(recipient, amount)</w:t>
            </w:r>
          </w:p>
        </w:tc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5"/>
              </w:rPr>
              <w:t>Recover/migrate faucet funds.</w:t>
            </w:r>
          </w:p>
        </w:tc>
      </w:tr>
      <w:tr>
        <w:trPr>
          <w:cantSplit/>
        </w:trPr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b/>
                <w:sz w:val="15"/>
              </w:rPr>
              <w:t>receive()</w:t>
            </w:r>
          </w:p>
        </w:tc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5"/>
              </w:rPr>
              <w:t>Anyone</w:t>
            </w:r>
          </w:p>
        </w:tc>
        <w:tc>
          <w:tcPr>
            <w:tcW w:type="dxa" w:w="3619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rFonts w:ascii="Aptos" w:hAnsi="Aptos"/>
                <w:sz w:val="15"/>
              </w:rPr>
              <w:t>Accept native-currency funding.</w:t>
            </w:r>
          </w:p>
        </w:tc>
      </w:tr>
    </w:tbl>
    <w:p>
      <w:pPr>
        <w:spacing w:before="70" w:after="20"/>
      </w:pPr>
      <w:r>
        <w:rPr>
          <w:rFonts w:ascii="Aptos Display" w:hAnsi="Aptos Display"/>
          <w:b/>
          <w:color w:val="1F3753"/>
          <w:sz w:val="20"/>
        </w:rPr>
        <w:t>5. Security Rules</w:t>
      </w:r>
    </w:p>
    <w:p>
      <w:pPr>
        <w:pStyle w:val="ListBullet"/>
        <w:spacing w:after="0" w:line="228" w:lineRule="auto"/>
      </w:pPr>
      <w:r>
        <w:rPr>
          <w:rFonts w:ascii="Aptos" w:hAnsi="Aptos"/>
          <w:sz w:val="16"/>
        </w:rPr>
        <w:t>Only distributors may pay recipients; only admins may change configuration.</w:t>
      </w:r>
    </w:p>
    <w:p>
      <w:pPr>
        <w:pStyle w:val="ListBullet"/>
        <w:spacing w:after="0" w:line="228" w:lineRule="auto"/>
      </w:pPr>
      <w:r>
        <w:rPr>
          <w:rFonts w:ascii="Aptos" w:hAnsi="Aptos"/>
          <w:sz w:val="16"/>
        </w:rPr>
        <w:t>No payout while paused; recipient must be valid; 0 &lt; amount &lt;= maxPayout.</w:t>
      </w:r>
    </w:p>
    <w:p>
      <w:pPr>
        <w:pStyle w:val="ListBullet"/>
        <w:spacing w:after="0" w:line="228" w:lineRule="auto"/>
      </w:pPr>
      <w:r>
        <w:rPr>
          <w:rFonts w:ascii="Aptos" w:hAnsi="Aptos"/>
          <w:sz w:val="16"/>
        </w:rPr>
        <w:t>Period spending and contract balance must never be exceeded.</w:t>
      </w:r>
    </w:p>
    <w:p>
      <w:pPr>
        <w:pStyle w:val="ListBullet"/>
        <w:spacing w:after="0" w:line="228" w:lineRule="auto"/>
      </w:pPr>
      <w:r>
        <w:rPr>
          <w:rFonts w:ascii="Aptos" w:hAnsi="Aptos"/>
          <w:sz w:val="16"/>
        </w:rPr>
        <w:t>Update accounting before the external transfer; keep validator, treasury, admin and distributor keys separate.</w:t>
      </w:r>
    </w:p>
    <w:p>
      <w:pPr>
        <w:spacing w:before="70" w:after="20"/>
      </w:pPr>
      <w:r>
        <w:rPr>
          <w:rFonts w:ascii="Aptos Display" w:hAnsi="Aptos Display"/>
          <w:b/>
          <w:color w:val="1F3753"/>
          <w:sz w:val="20"/>
        </w:rPr>
        <w:t>6. Upgrade &amp; Deployment Model</w:t>
      </w:r>
    </w:p>
    <w:p>
      <w:pPr>
        <w:spacing w:after="20"/>
      </w:pPr>
      <w:r>
        <w:rPr>
          <w:rFonts w:ascii="Aptos" w:hAnsi="Aptos"/>
          <w:b/>
          <w:color w:val="18304E"/>
          <w:sz w:val="16"/>
        </w:rPr>
        <w:t>Contract code is non-upgradeable. For logic changes: pause V1 → deploy V2 → move remaining funds → update backend contract address.</w:t>
      </w:r>
    </w:p>
    <w:p>
      <w:pPr>
        <w:spacing w:after="0"/>
      </w:pPr>
      <w:r>
        <w:rPr>
          <w:rFonts w:ascii="Aptos" w:hAnsi="Aptos"/>
          <w:sz w:val="16"/>
        </w:rPr>
        <w:t>Per chain: deploy → assign admin/distributor → configure limits → fund from treasury → add chain ID/RPC/contract address to backend config → test → enable.</w:t>
      </w:r>
    </w:p>
    <w:sectPr w:rsidR="00FC693F" w:rsidRPr="0006063C" w:rsidSect="00034616">
      <w:footerReference w:type="default" r:id="rId9"/>
      <w:pgSz w:w="12240" w:h="15840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D7D7D"/>
        <w:sz w:val="14"/>
      </w:rPr>
      <w:t>NativeFaucet • Concise Contract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30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74" w:hanging="158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Native Faucet Smart Contract - Concise Specification</dc:title>
  <dc:subject>Non-upgradeable EVM native faucet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