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55984" w14:textId="7EEA8F4A" w:rsidR="0057617E" w:rsidRPr="0057617E" w:rsidRDefault="0057617E">
      <w:pPr>
        <w:rPr>
          <w:b/>
          <w:bCs/>
        </w:rPr>
      </w:pPr>
      <w:r w:rsidRPr="0057617E">
        <w:rPr>
          <w:b/>
          <w:bCs/>
        </w:rPr>
        <w:t>Analyzing Factors Influencing Cryptocurrency Price Dynamics: A Comprehensive Visualization Approach</w:t>
      </w:r>
    </w:p>
    <w:p w14:paraId="1CAA3BCD" w14:textId="6AF0A70C" w:rsidR="00D16D33" w:rsidRDefault="00D16D33">
      <w:r>
        <w:t xml:space="preserve">1) </w:t>
      </w:r>
      <w:r w:rsidRPr="00D16D33">
        <w:t>Piecewise Regression: Difficulty vs. Close Price</w:t>
      </w:r>
    </w:p>
    <w:p w14:paraId="4D2E16E1" w14:textId="1BE78A1D" w:rsidR="00D16D33" w:rsidRDefault="00D16D33">
      <w:pPr>
        <w:rPr>
          <w:b/>
          <w:bCs/>
          <w:u w:val="single"/>
        </w:rPr>
      </w:pPr>
      <w:r w:rsidRPr="00D16D33">
        <w:drawing>
          <wp:inline distT="0" distB="0" distL="0" distR="0" wp14:anchorId="6C15EC15" wp14:editId="45643C33">
            <wp:extent cx="5943600" cy="3479165"/>
            <wp:effectExtent l="0" t="0" r="0" b="6985"/>
            <wp:docPr id="94059631" name="Picture 1" descr="A graph with a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59631" name="Picture 1" descr="A graph with a green line&#10;&#10;Description automatically generated"/>
                    <pic:cNvPicPr/>
                  </pic:nvPicPr>
                  <pic:blipFill>
                    <a:blip r:embed="rId4"/>
                    <a:stretch>
                      <a:fillRect/>
                    </a:stretch>
                  </pic:blipFill>
                  <pic:spPr>
                    <a:xfrm>
                      <a:off x="0" y="0"/>
                      <a:ext cx="5943600" cy="3479165"/>
                    </a:xfrm>
                    <a:prstGeom prst="rect">
                      <a:avLst/>
                    </a:prstGeom>
                  </pic:spPr>
                </pic:pic>
              </a:graphicData>
            </a:graphic>
          </wp:inline>
        </w:drawing>
      </w:r>
    </w:p>
    <w:p w14:paraId="47613AE0" w14:textId="7D4D683A" w:rsidR="00D16D33" w:rsidRDefault="0057617E">
      <w:r w:rsidRPr="0057617E">
        <w:t>This chart shows the relationship between the "difficulty" and "close price" of a cryptocurrency, using piecewise regression. The data is split into two segments: one for low difficulty (below the breakpoint of 2) and one for high difficulty (above the breakpoint). The model fits two different linear regression lines to these segments, showing a steep increase in the close price as the difficulty rises above 2. The breakpoint highlights where the trend changes, giving insights into how difficulty levels impact price trends.</w:t>
      </w:r>
    </w:p>
    <w:p w14:paraId="218BA676" w14:textId="77777777" w:rsidR="0057617E" w:rsidRDefault="0057617E"/>
    <w:p w14:paraId="45D10460" w14:textId="7EA1BFB2" w:rsidR="0057617E" w:rsidRDefault="0057617E">
      <w:r>
        <w:br w:type="page"/>
      </w:r>
    </w:p>
    <w:p w14:paraId="1E44144A" w14:textId="156B6E71" w:rsidR="0057617E" w:rsidRDefault="0057617E">
      <w:r>
        <w:lastRenderedPageBreak/>
        <w:t xml:space="preserve">2) </w:t>
      </w:r>
      <w:r w:rsidRPr="0057617E">
        <w:t>LOESS Smoothing: Difficulty vs. Close Price</w:t>
      </w:r>
    </w:p>
    <w:p w14:paraId="1265B7D8" w14:textId="218C1F90" w:rsidR="0057617E" w:rsidRDefault="0057617E">
      <w:r w:rsidRPr="0057617E">
        <w:drawing>
          <wp:inline distT="0" distB="0" distL="0" distR="0" wp14:anchorId="17A3A457" wp14:editId="67BE4B0C">
            <wp:extent cx="5943600" cy="3644265"/>
            <wp:effectExtent l="0" t="0" r="0" b="0"/>
            <wp:docPr id="313554425" name="Picture 1" descr="A graph with blue lines and a line pointing upw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554425" name="Picture 1" descr="A graph with blue lines and a line pointing upward&#10;&#10;Description automatically generated"/>
                    <pic:cNvPicPr/>
                  </pic:nvPicPr>
                  <pic:blipFill>
                    <a:blip r:embed="rId5"/>
                    <a:stretch>
                      <a:fillRect/>
                    </a:stretch>
                  </pic:blipFill>
                  <pic:spPr>
                    <a:xfrm>
                      <a:off x="0" y="0"/>
                      <a:ext cx="5943600" cy="3644265"/>
                    </a:xfrm>
                    <a:prstGeom prst="rect">
                      <a:avLst/>
                    </a:prstGeom>
                  </pic:spPr>
                </pic:pic>
              </a:graphicData>
            </a:graphic>
          </wp:inline>
        </w:drawing>
      </w:r>
    </w:p>
    <w:p w14:paraId="03C41C57" w14:textId="1EB9059C" w:rsidR="0057617E" w:rsidRDefault="0057617E">
      <w:r w:rsidRPr="0057617E">
        <w:t>This chart visualizes the trend in the relationship between difficulty and close price using LOESS (Locally Estimated Scatterplot Smoothing). Unlike linear regression, LOESS captures non-linear trends by applying a moving window to smooth the data. The chart shows how the price behaves in response to difficulty, emphasizing the start of the upward trend and the steep increase. This is particularly useful for capturing complex, non-linear relationships that traditional linear models might miss.</w:t>
      </w:r>
    </w:p>
    <w:p w14:paraId="5ECD5285" w14:textId="05E39C6D" w:rsidR="0057617E" w:rsidRDefault="0057617E">
      <w:r>
        <w:br w:type="page"/>
      </w:r>
    </w:p>
    <w:p w14:paraId="07F4A87D" w14:textId="3F337FB2" w:rsidR="0057617E" w:rsidRDefault="0057617E">
      <w:r>
        <w:lastRenderedPageBreak/>
        <w:t xml:space="preserve">3) </w:t>
      </w:r>
      <w:r w:rsidRPr="0057617E">
        <w:t>Close Price Distribution by Taker Buy and Sell Volumes</w:t>
      </w:r>
    </w:p>
    <w:p w14:paraId="5577C0B6" w14:textId="1022ED77" w:rsidR="0057617E" w:rsidRDefault="0057617E">
      <w:r w:rsidRPr="0057617E">
        <w:drawing>
          <wp:inline distT="0" distB="0" distL="0" distR="0" wp14:anchorId="26FCAAD9" wp14:editId="5A8FB297">
            <wp:extent cx="5943600" cy="3876040"/>
            <wp:effectExtent l="0" t="0" r="0" b="0"/>
            <wp:docPr id="1498779377" name="Picture 1" descr="A chart of a number of box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779377" name="Picture 1" descr="A chart of a number of boxes&#10;&#10;Description automatically generated with medium confidence"/>
                    <pic:cNvPicPr/>
                  </pic:nvPicPr>
                  <pic:blipFill>
                    <a:blip r:embed="rId6"/>
                    <a:stretch>
                      <a:fillRect/>
                    </a:stretch>
                  </pic:blipFill>
                  <pic:spPr>
                    <a:xfrm>
                      <a:off x="0" y="0"/>
                      <a:ext cx="5943600" cy="3876040"/>
                    </a:xfrm>
                    <a:prstGeom prst="rect">
                      <a:avLst/>
                    </a:prstGeom>
                  </pic:spPr>
                </pic:pic>
              </a:graphicData>
            </a:graphic>
          </wp:inline>
        </w:drawing>
      </w:r>
    </w:p>
    <w:p w14:paraId="1F88B4E0" w14:textId="1F212393" w:rsidR="0057617E" w:rsidRDefault="0057617E">
      <w:r w:rsidRPr="0057617E">
        <w:t>This box plot compares the distribution of close prices across different levels of taker buy and sell volumes. The data is divided into four categories</w:t>
      </w:r>
      <w:r>
        <w:t xml:space="preserve"> (L</w:t>
      </w:r>
      <w:r w:rsidRPr="0057617E">
        <w:t>ow, Moderate, High, and Very High</w:t>
      </w:r>
      <w:r>
        <w:t xml:space="preserve">) </w:t>
      </w:r>
      <w:r w:rsidRPr="0057617E">
        <w:t>using quantiles. This plot highlights how the close price behaves at different volume levels, with comparisons between taker buy and sell volumes. It helps identify whether higher volumes (both buy and sell) correlate with more significant variations in close price, and if there's a noticeable trend at higher volume levels.</w:t>
      </w:r>
    </w:p>
    <w:p w14:paraId="24042DBF" w14:textId="77777777" w:rsidR="0057617E" w:rsidRDefault="0057617E"/>
    <w:p w14:paraId="4C116F34" w14:textId="77777777" w:rsidR="0057617E" w:rsidRDefault="0057617E">
      <w:r>
        <w:br w:type="page"/>
      </w:r>
    </w:p>
    <w:p w14:paraId="0F693A95" w14:textId="4EF5F053" w:rsidR="0057617E" w:rsidRDefault="0057617E">
      <w:r>
        <w:lastRenderedPageBreak/>
        <w:t xml:space="preserve">4) </w:t>
      </w:r>
      <w:r w:rsidRPr="0057617E">
        <w:t>Impact of Taker Buy Volume on Close Price Over Time</w:t>
      </w:r>
    </w:p>
    <w:p w14:paraId="69844B0C" w14:textId="6AB2FB22" w:rsidR="0057617E" w:rsidRDefault="0057617E">
      <w:r w:rsidRPr="0057617E">
        <w:drawing>
          <wp:inline distT="0" distB="0" distL="0" distR="0" wp14:anchorId="6F594381" wp14:editId="3858FB98">
            <wp:extent cx="5943600" cy="3286760"/>
            <wp:effectExtent l="0" t="0" r="0" b="8890"/>
            <wp:docPr id="1667827328" name="Picture 1" descr="A graph showing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827328" name="Picture 1" descr="A graph showing a blue line&#10;&#10;Description automatically generated"/>
                    <pic:cNvPicPr/>
                  </pic:nvPicPr>
                  <pic:blipFill>
                    <a:blip r:embed="rId7"/>
                    <a:stretch>
                      <a:fillRect/>
                    </a:stretch>
                  </pic:blipFill>
                  <pic:spPr>
                    <a:xfrm>
                      <a:off x="0" y="0"/>
                      <a:ext cx="5943600" cy="3286760"/>
                    </a:xfrm>
                    <a:prstGeom prst="rect">
                      <a:avLst/>
                    </a:prstGeom>
                  </pic:spPr>
                </pic:pic>
              </a:graphicData>
            </a:graphic>
          </wp:inline>
        </w:drawing>
      </w:r>
    </w:p>
    <w:p w14:paraId="39096448" w14:textId="2ED2739F" w:rsidR="0057617E" w:rsidRDefault="0057617E">
      <w:r w:rsidRPr="0057617E">
        <w:t xml:space="preserve">This line plot shows how the taker </w:t>
      </w:r>
      <w:proofErr w:type="gramStart"/>
      <w:r w:rsidRPr="0057617E">
        <w:t>buy</w:t>
      </w:r>
      <w:proofErr w:type="gramEnd"/>
      <w:r w:rsidRPr="0057617E">
        <w:t xml:space="preserve"> volume and close price evolve over time. By comparing the blue line (taker buy volume) and the orange line (close price), it is possible to analyze how fluctuations in buying activity influence the price changes of the asset over a specific </w:t>
      </w:r>
      <w:proofErr w:type="gramStart"/>
      <w:r w:rsidRPr="0057617E">
        <w:t>time period</w:t>
      </w:r>
      <w:proofErr w:type="gramEnd"/>
      <w:r w:rsidRPr="0057617E">
        <w:t>. The chart indicates that periods of high taker buy volume correlate with price increases, showing the potential influence of buying demand on price movements.</w:t>
      </w:r>
    </w:p>
    <w:p w14:paraId="6C535F8E" w14:textId="77777777" w:rsidR="0057617E" w:rsidRDefault="0057617E"/>
    <w:p w14:paraId="04776A89" w14:textId="743EC51C" w:rsidR="0057617E" w:rsidRDefault="0057617E">
      <w:r>
        <w:br w:type="page"/>
      </w:r>
    </w:p>
    <w:p w14:paraId="271CBDFB" w14:textId="6B562548" w:rsidR="0057617E" w:rsidRDefault="0057617E">
      <w:r>
        <w:lastRenderedPageBreak/>
        <w:t xml:space="preserve">5) </w:t>
      </w:r>
      <w:r w:rsidRPr="0057617E">
        <w:t>Impact of Taker Sell Volume on Close Price Over Time</w:t>
      </w:r>
    </w:p>
    <w:p w14:paraId="1692B924" w14:textId="7305E475" w:rsidR="0057617E" w:rsidRDefault="0057617E">
      <w:r w:rsidRPr="0057617E">
        <w:drawing>
          <wp:inline distT="0" distB="0" distL="0" distR="0" wp14:anchorId="441A4661" wp14:editId="15B0F76E">
            <wp:extent cx="5943600" cy="3286760"/>
            <wp:effectExtent l="0" t="0" r="0" b="8890"/>
            <wp:docPr id="1099868514" name="Picture 1" descr="A graph showing a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868514" name="Picture 1" descr="A graph showing a green line&#10;&#10;Description automatically generated"/>
                    <pic:cNvPicPr/>
                  </pic:nvPicPr>
                  <pic:blipFill>
                    <a:blip r:embed="rId8"/>
                    <a:stretch>
                      <a:fillRect/>
                    </a:stretch>
                  </pic:blipFill>
                  <pic:spPr>
                    <a:xfrm>
                      <a:off x="0" y="0"/>
                      <a:ext cx="5943600" cy="3286760"/>
                    </a:xfrm>
                    <a:prstGeom prst="rect">
                      <a:avLst/>
                    </a:prstGeom>
                  </pic:spPr>
                </pic:pic>
              </a:graphicData>
            </a:graphic>
          </wp:inline>
        </w:drawing>
      </w:r>
    </w:p>
    <w:p w14:paraId="050B1854" w14:textId="19AD8E9F" w:rsidR="0057617E" w:rsidRDefault="0057617E">
      <w:r w:rsidRPr="0057617E">
        <w:t xml:space="preserve">This line plot is </w:t>
      </w:r>
      <w:proofErr w:type="gramStart"/>
      <w:r w:rsidRPr="0057617E">
        <w:t>similar to</w:t>
      </w:r>
      <w:proofErr w:type="gramEnd"/>
      <w:r w:rsidRPr="0057617E">
        <w:t xml:space="preserve"> the previous one but compares taker sell volume with the close price. The chart helps to understand the relationship between selling volume and the close price, showcasing whether higher sell volumes correlate with price decreases, or if other trends emerge. Observing the correlation between the two variables can provide insights into market sentiment and selling pressure.</w:t>
      </w:r>
    </w:p>
    <w:p w14:paraId="43DC6320" w14:textId="77777777" w:rsidR="0057617E" w:rsidRDefault="0057617E"/>
    <w:p w14:paraId="6876FACA" w14:textId="3780060E" w:rsidR="0057617E" w:rsidRDefault="0057617E">
      <w:r>
        <w:br w:type="page"/>
      </w:r>
    </w:p>
    <w:p w14:paraId="4575056D" w14:textId="3D53879F" w:rsidR="0057617E" w:rsidRDefault="0057617E">
      <w:r>
        <w:lastRenderedPageBreak/>
        <w:t xml:space="preserve">6) </w:t>
      </w:r>
      <w:r w:rsidRPr="0057617E">
        <w:t xml:space="preserve">Impact of </w:t>
      </w:r>
      <w:proofErr w:type="spellStart"/>
      <w:r w:rsidRPr="0057617E">
        <w:t>Blockreward</w:t>
      </w:r>
      <w:proofErr w:type="spellEnd"/>
      <w:r w:rsidRPr="0057617E">
        <w:t xml:space="preserve"> USD on Close Price Over Time</w:t>
      </w:r>
    </w:p>
    <w:p w14:paraId="4A07C71F" w14:textId="3179F164" w:rsidR="0057617E" w:rsidRDefault="0057617E">
      <w:r w:rsidRPr="0057617E">
        <w:drawing>
          <wp:inline distT="0" distB="0" distL="0" distR="0" wp14:anchorId="2E2E4C17" wp14:editId="134D77E0">
            <wp:extent cx="5943600" cy="3277235"/>
            <wp:effectExtent l="0" t="0" r="0" b="0"/>
            <wp:docPr id="1409107240" name="Picture 1" descr="A graph showing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107240" name="Picture 1" descr="A graph showing a line graph&#10;&#10;Description automatically generated with medium confidence"/>
                    <pic:cNvPicPr/>
                  </pic:nvPicPr>
                  <pic:blipFill>
                    <a:blip r:embed="rId9"/>
                    <a:stretch>
                      <a:fillRect/>
                    </a:stretch>
                  </pic:blipFill>
                  <pic:spPr>
                    <a:xfrm>
                      <a:off x="0" y="0"/>
                      <a:ext cx="5943600" cy="3277235"/>
                    </a:xfrm>
                    <a:prstGeom prst="rect">
                      <a:avLst/>
                    </a:prstGeom>
                  </pic:spPr>
                </pic:pic>
              </a:graphicData>
            </a:graphic>
          </wp:inline>
        </w:drawing>
      </w:r>
    </w:p>
    <w:p w14:paraId="7C11F0BC" w14:textId="1651EBA7" w:rsidR="0057617E" w:rsidRPr="0057617E" w:rsidRDefault="0057617E">
      <w:r w:rsidRPr="0057617E">
        <w:t>This chart illustrates how the block reward in USD correlates with the close price over time. The block reward is an essential factor for blockchain-based assets, as it represents the reward miners receive for validating transactions. By comparing this with the close price, the chart shows how mining incentives (</w:t>
      </w:r>
      <w:proofErr w:type="spellStart"/>
      <w:r w:rsidRPr="0057617E">
        <w:t>blockreward</w:t>
      </w:r>
      <w:proofErr w:type="spellEnd"/>
      <w:r w:rsidRPr="0057617E">
        <w:t>) might influence price movements, indicating whether higher rewards contribute to price increases or decreases.</w:t>
      </w:r>
    </w:p>
    <w:p w14:paraId="53A95CD7" w14:textId="77777777" w:rsidR="00D16D33" w:rsidRDefault="00D16D33">
      <w:pPr>
        <w:rPr>
          <w:b/>
          <w:bCs/>
          <w:u w:val="single"/>
        </w:rPr>
      </w:pPr>
    </w:p>
    <w:p w14:paraId="3D707C1D" w14:textId="77777777" w:rsidR="00D16D33" w:rsidRDefault="00D16D33">
      <w:pPr>
        <w:rPr>
          <w:b/>
          <w:bCs/>
          <w:u w:val="single"/>
        </w:rPr>
      </w:pPr>
    </w:p>
    <w:p w14:paraId="449FE6C0" w14:textId="77777777" w:rsidR="00D16D33" w:rsidRDefault="00D16D33">
      <w:pPr>
        <w:rPr>
          <w:b/>
          <w:bCs/>
          <w:u w:val="single"/>
        </w:rPr>
      </w:pPr>
    </w:p>
    <w:p w14:paraId="0965AE4B" w14:textId="77777777" w:rsidR="00D16D33" w:rsidRDefault="00D16D33">
      <w:pPr>
        <w:rPr>
          <w:b/>
          <w:bCs/>
          <w:u w:val="single"/>
        </w:rPr>
      </w:pPr>
      <w:r>
        <w:rPr>
          <w:b/>
          <w:bCs/>
          <w:u w:val="single"/>
        </w:rPr>
        <w:br w:type="page"/>
      </w:r>
    </w:p>
    <w:p w14:paraId="3A1FE6DF" w14:textId="235B8763" w:rsidR="0051369D" w:rsidRPr="00414723" w:rsidRDefault="00414723">
      <w:pPr>
        <w:rPr>
          <w:b/>
          <w:bCs/>
          <w:u w:val="single"/>
        </w:rPr>
      </w:pPr>
      <w:r w:rsidRPr="00414723">
        <w:rPr>
          <w:b/>
          <w:bCs/>
          <w:u w:val="single"/>
        </w:rPr>
        <w:lastRenderedPageBreak/>
        <w:t>Optimizing Trading Strategy: Performance and Risk Management Insights</w:t>
      </w:r>
    </w:p>
    <w:p w14:paraId="2B47A525" w14:textId="333BEB92" w:rsidR="00414723" w:rsidRDefault="00414723">
      <w:r w:rsidRPr="00414723">
        <w:t>1. Key Features Driving Strategy Performance</w:t>
      </w:r>
    </w:p>
    <w:p w14:paraId="12318738" w14:textId="501BFB3A" w:rsidR="00414723" w:rsidRDefault="00414723" w:rsidP="00414723">
      <w:pPr>
        <w:jc w:val="center"/>
      </w:pPr>
      <w:r w:rsidRPr="00414723">
        <w:drawing>
          <wp:inline distT="0" distB="0" distL="0" distR="0" wp14:anchorId="5C81C17A" wp14:editId="0D01E4C7">
            <wp:extent cx="4680857" cy="3717681"/>
            <wp:effectExtent l="0" t="0" r="5715" b="0"/>
            <wp:docPr id="1960143682"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143682" name="Picture 1" descr="A graph with blue squares&#10;&#10;Description automatically generated"/>
                    <pic:cNvPicPr/>
                  </pic:nvPicPr>
                  <pic:blipFill>
                    <a:blip r:embed="rId10"/>
                    <a:stretch>
                      <a:fillRect/>
                    </a:stretch>
                  </pic:blipFill>
                  <pic:spPr>
                    <a:xfrm>
                      <a:off x="0" y="0"/>
                      <a:ext cx="4682950" cy="3719343"/>
                    </a:xfrm>
                    <a:prstGeom prst="rect">
                      <a:avLst/>
                    </a:prstGeom>
                  </pic:spPr>
                </pic:pic>
              </a:graphicData>
            </a:graphic>
          </wp:inline>
        </w:drawing>
      </w:r>
    </w:p>
    <w:p w14:paraId="01BA65C7" w14:textId="2DB09A0C" w:rsidR="00414723" w:rsidRDefault="00414723" w:rsidP="00414723">
      <w:r w:rsidRPr="00414723">
        <w:t xml:space="preserve">The feature importance chart identifies the key factors influencing the performance of the trading strategy. Among the analyzed variables, </w:t>
      </w:r>
      <w:proofErr w:type="spellStart"/>
      <w:r w:rsidRPr="00414723">
        <w:t>taker_buy_volume</w:t>
      </w:r>
      <w:proofErr w:type="spellEnd"/>
      <w:r w:rsidRPr="00414723">
        <w:t xml:space="preserve"> stands out as the most impactful, contributing nearly 59% to the variability in returns. This highlights the importance of buy-side trading volume in shaping market behavior. The second most influential factor, </w:t>
      </w:r>
      <w:proofErr w:type="spellStart"/>
      <w:r w:rsidRPr="00414723">
        <w:t>blockreward_usd</w:t>
      </w:r>
      <w:proofErr w:type="spellEnd"/>
      <w:r w:rsidRPr="00414723">
        <w:t>, accounts for 41%, reflecting how changes in reward values can drive market sentiment and trading opportunities. In contrast, difficulty shows minimal contribution, suggesting that network complexity has limited relevance in predicting returns for this strategy. These findings informed our focus on prioritizing high-impact variables during optimization, ensuring a data-driven approach to improving performance.</w:t>
      </w:r>
    </w:p>
    <w:p w14:paraId="62821DF8" w14:textId="77777777" w:rsidR="00414723" w:rsidRDefault="00414723">
      <w:r>
        <w:br w:type="page"/>
      </w:r>
    </w:p>
    <w:p w14:paraId="012020A0" w14:textId="7A8BDBF4" w:rsidR="00414723" w:rsidRDefault="00414723">
      <w:r>
        <w:lastRenderedPageBreak/>
        <w:t xml:space="preserve">2. </w:t>
      </w:r>
      <w:r w:rsidRPr="00414723">
        <w:t>Improved Portfolio Growth After Optimization</w:t>
      </w:r>
    </w:p>
    <w:p w14:paraId="700A72FB" w14:textId="723EEAB0" w:rsidR="00414723" w:rsidRDefault="00414723">
      <w:r w:rsidRPr="00414723">
        <w:drawing>
          <wp:inline distT="0" distB="0" distL="0" distR="0" wp14:anchorId="72BE63A3" wp14:editId="2981FB21">
            <wp:extent cx="5943600" cy="3228975"/>
            <wp:effectExtent l="0" t="0" r="0" b="9525"/>
            <wp:docPr id="1813151044" name="Picture 1" descr="A graph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151044" name="Picture 1" descr="A graph with red lines&#10;&#10;Description automatically generated"/>
                    <pic:cNvPicPr/>
                  </pic:nvPicPr>
                  <pic:blipFill>
                    <a:blip r:embed="rId11"/>
                    <a:stretch>
                      <a:fillRect/>
                    </a:stretch>
                  </pic:blipFill>
                  <pic:spPr>
                    <a:xfrm>
                      <a:off x="0" y="0"/>
                      <a:ext cx="5943600" cy="3228975"/>
                    </a:xfrm>
                    <a:prstGeom prst="rect">
                      <a:avLst/>
                    </a:prstGeom>
                  </pic:spPr>
                </pic:pic>
              </a:graphicData>
            </a:graphic>
          </wp:inline>
        </w:drawing>
      </w:r>
    </w:p>
    <w:p w14:paraId="0243DBD7" w14:textId="7433463F" w:rsidR="00414723" w:rsidRDefault="00414723">
      <w:r w:rsidRPr="00414723">
        <w:t>This chart compares the cumulative portfolio returns before and after optimization. The unoptimized strategy, represented by the red line, exhibits high volatility and irregular growth, with sharp fluctuations that make the performance unpredictable. After implementing the optimized strategy, shown by the green line, the portfolio achieves smoother and more consistent returns over time. This demonstrates the success of incorporating adaptive thresholds and risk management mechanisms, which helped stabilize portfolio growth and reduce the frequency of sharp losses. The comparison clearly highlights the effectiveness of the optimizations in delivering a more reliable and sustainable trading performance.</w:t>
      </w:r>
    </w:p>
    <w:p w14:paraId="74CF6DF0" w14:textId="77777777" w:rsidR="00414723" w:rsidRDefault="00414723"/>
    <w:p w14:paraId="127844C7" w14:textId="77777777" w:rsidR="00414723" w:rsidRDefault="00414723">
      <w:r>
        <w:br w:type="page"/>
      </w:r>
    </w:p>
    <w:p w14:paraId="6F43CE4B" w14:textId="18911FA9" w:rsidR="00414723" w:rsidRDefault="00414723">
      <w:r>
        <w:lastRenderedPageBreak/>
        <w:t xml:space="preserve">3. </w:t>
      </w:r>
      <w:r w:rsidRPr="00414723">
        <w:t>Risk-Adjusted Returns: Before and After Optimization</w:t>
      </w:r>
    </w:p>
    <w:p w14:paraId="41B787FB" w14:textId="14F3EA46" w:rsidR="00414723" w:rsidRDefault="00414723">
      <w:r w:rsidRPr="00414723">
        <w:drawing>
          <wp:inline distT="0" distB="0" distL="0" distR="0" wp14:anchorId="6C6F41F7" wp14:editId="56F033C0">
            <wp:extent cx="5943600" cy="3228975"/>
            <wp:effectExtent l="0" t="0" r="0" b="9525"/>
            <wp:docPr id="720641519"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641519" name="Picture 1" descr="A graph of a graph&#10;&#10;Description automatically generated"/>
                    <pic:cNvPicPr/>
                  </pic:nvPicPr>
                  <pic:blipFill>
                    <a:blip r:embed="rId12"/>
                    <a:stretch>
                      <a:fillRect/>
                    </a:stretch>
                  </pic:blipFill>
                  <pic:spPr>
                    <a:xfrm>
                      <a:off x="0" y="0"/>
                      <a:ext cx="5943600" cy="3228975"/>
                    </a:xfrm>
                    <a:prstGeom prst="rect">
                      <a:avLst/>
                    </a:prstGeom>
                  </pic:spPr>
                </pic:pic>
              </a:graphicData>
            </a:graphic>
          </wp:inline>
        </w:drawing>
      </w:r>
    </w:p>
    <w:p w14:paraId="527D0F66" w14:textId="5379A5E1" w:rsidR="00414723" w:rsidRDefault="00414723">
      <w:r w:rsidRPr="00414723">
        <w:t xml:space="preserve">The Sharpe ratio distribution illustrates the impact of optimization on risk-adjusted returns. The unoptimized strategy, shown in blue, has a wide distribution with many extreme negative values, indicating </w:t>
      </w:r>
      <w:proofErr w:type="gramStart"/>
      <w:r w:rsidRPr="00414723">
        <w:t>poor</w:t>
      </w:r>
      <w:proofErr w:type="gramEnd"/>
      <w:r w:rsidRPr="00414723">
        <w:t xml:space="preserve"> balance between risk and returns. In contrast, the optimized strategy, shown in green, demonstrates a significant shift toward positive Sharpe ratios. This reflects reduced extreme losses and improved profitability. Additionally, the narrower distribution after optimization highlights more consistent performance, minimizing periods of significant underperformance. By reducing risk and increasing reliability, the optimized strategy effectively improves its appeal for long-term use.</w:t>
      </w:r>
    </w:p>
    <w:p w14:paraId="4C7CFC21" w14:textId="77777777" w:rsidR="00414723" w:rsidRDefault="00414723"/>
    <w:p w14:paraId="6AD762B4" w14:textId="77777777" w:rsidR="00414723" w:rsidRDefault="00414723">
      <w:r>
        <w:br w:type="page"/>
      </w:r>
    </w:p>
    <w:p w14:paraId="6EE19B71" w14:textId="0708775A" w:rsidR="00414723" w:rsidRDefault="00414723">
      <w:r>
        <w:lastRenderedPageBreak/>
        <w:t xml:space="preserve">4. </w:t>
      </w:r>
      <w:r w:rsidRPr="00414723">
        <w:t>Mitigating Risk with Improved Strategy</w:t>
      </w:r>
    </w:p>
    <w:p w14:paraId="67D670D9" w14:textId="0A8B9FFE" w:rsidR="00414723" w:rsidRDefault="00414723">
      <w:r w:rsidRPr="00414723">
        <w:drawing>
          <wp:inline distT="0" distB="0" distL="0" distR="0" wp14:anchorId="29857C69" wp14:editId="47FEE4F4">
            <wp:extent cx="5943600" cy="3219450"/>
            <wp:effectExtent l="0" t="0" r="0" b="0"/>
            <wp:docPr id="308177530" name="Picture 1" descr="A graph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177530" name="Picture 1" descr="A graph with red lines&#10;&#10;Description automatically generated"/>
                    <pic:cNvPicPr/>
                  </pic:nvPicPr>
                  <pic:blipFill>
                    <a:blip r:embed="rId13"/>
                    <a:stretch>
                      <a:fillRect/>
                    </a:stretch>
                  </pic:blipFill>
                  <pic:spPr>
                    <a:xfrm>
                      <a:off x="0" y="0"/>
                      <a:ext cx="5943600" cy="3219450"/>
                    </a:xfrm>
                    <a:prstGeom prst="rect">
                      <a:avLst/>
                    </a:prstGeom>
                  </pic:spPr>
                </pic:pic>
              </a:graphicData>
            </a:graphic>
          </wp:inline>
        </w:drawing>
      </w:r>
    </w:p>
    <w:p w14:paraId="4740EAEB" w14:textId="50851CC2" w:rsidR="00414723" w:rsidRDefault="00414723">
      <w:r w:rsidRPr="00414723">
        <w:t>The max drawdown chart visualizes the worst-case losses experienced by the portfolio over time. The unoptimized strategy, represented by the red line, shows deep and frequent drawdowns, indicating significant risk exposure and a lack of effective risk management. After optimization, the green line highlights much smaller and less frequent drawdowns, demonstrating the impact of the stop-loss and take-profit mechanisms implemented. This reduction in drawdowns translates to greater portfolio stability and lower overall risk. The chart provides clear evidence that the optimized strategy is more resilient during adverse market conditions, making it more reliable for long-term trading.</w:t>
      </w:r>
    </w:p>
    <w:sectPr w:rsidR="004147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723"/>
    <w:rsid w:val="0015573B"/>
    <w:rsid w:val="00185913"/>
    <w:rsid w:val="0020154D"/>
    <w:rsid w:val="00280F40"/>
    <w:rsid w:val="003A722F"/>
    <w:rsid w:val="00414723"/>
    <w:rsid w:val="0051369D"/>
    <w:rsid w:val="0057617E"/>
    <w:rsid w:val="00653B68"/>
    <w:rsid w:val="00656A86"/>
    <w:rsid w:val="00724C5D"/>
    <w:rsid w:val="007E0BDF"/>
    <w:rsid w:val="009748DE"/>
    <w:rsid w:val="00B707C1"/>
    <w:rsid w:val="00C32FFF"/>
    <w:rsid w:val="00D16D33"/>
    <w:rsid w:val="00E05F14"/>
    <w:rsid w:val="00E14D72"/>
    <w:rsid w:val="00ED7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1F4F0"/>
  <w15:chartTrackingRefBased/>
  <w15:docId w15:val="{8EA1597C-31E5-49EF-9A8F-42D863354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47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47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47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47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47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472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472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472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472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7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47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47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47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47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47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47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47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4723"/>
    <w:rPr>
      <w:rFonts w:eastAsiaTheme="majorEastAsia" w:cstheme="majorBidi"/>
      <w:color w:val="272727" w:themeColor="text1" w:themeTint="D8"/>
    </w:rPr>
  </w:style>
  <w:style w:type="paragraph" w:styleId="Title">
    <w:name w:val="Title"/>
    <w:basedOn w:val="Normal"/>
    <w:next w:val="Normal"/>
    <w:link w:val="TitleChar"/>
    <w:uiPriority w:val="10"/>
    <w:qFormat/>
    <w:rsid w:val="004147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7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472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47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472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14723"/>
    <w:rPr>
      <w:i/>
      <w:iCs/>
      <w:color w:val="404040" w:themeColor="text1" w:themeTint="BF"/>
    </w:rPr>
  </w:style>
  <w:style w:type="paragraph" w:styleId="ListParagraph">
    <w:name w:val="List Paragraph"/>
    <w:basedOn w:val="Normal"/>
    <w:uiPriority w:val="34"/>
    <w:qFormat/>
    <w:rsid w:val="00414723"/>
    <w:pPr>
      <w:ind w:left="720"/>
      <w:contextualSpacing/>
    </w:pPr>
  </w:style>
  <w:style w:type="character" w:styleId="IntenseEmphasis">
    <w:name w:val="Intense Emphasis"/>
    <w:basedOn w:val="DefaultParagraphFont"/>
    <w:uiPriority w:val="21"/>
    <w:qFormat/>
    <w:rsid w:val="00414723"/>
    <w:rPr>
      <w:i/>
      <w:iCs/>
      <w:color w:val="0F4761" w:themeColor="accent1" w:themeShade="BF"/>
    </w:rPr>
  </w:style>
  <w:style w:type="paragraph" w:styleId="IntenseQuote">
    <w:name w:val="Intense Quote"/>
    <w:basedOn w:val="Normal"/>
    <w:next w:val="Normal"/>
    <w:link w:val="IntenseQuoteChar"/>
    <w:uiPriority w:val="30"/>
    <w:qFormat/>
    <w:rsid w:val="004147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4723"/>
    <w:rPr>
      <w:i/>
      <w:iCs/>
      <w:color w:val="0F4761" w:themeColor="accent1" w:themeShade="BF"/>
    </w:rPr>
  </w:style>
  <w:style w:type="character" w:styleId="IntenseReference">
    <w:name w:val="Intense Reference"/>
    <w:basedOn w:val="DefaultParagraphFont"/>
    <w:uiPriority w:val="32"/>
    <w:qFormat/>
    <w:rsid w:val="004147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10</Pages>
  <Words>964</Words>
  <Characters>5499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WEN KANG</dc:creator>
  <cp:keywords/>
  <dc:description/>
  <cp:lastModifiedBy>LEE WEN KANG</cp:lastModifiedBy>
  <cp:revision>1</cp:revision>
  <cp:lastPrinted>2024-12-21T08:00:00Z</cp:lastPrinted>
  <dcterms:created xsi:type="dcterms:W3CDTF">2024-12-21T07:33:00Z</dcterms:created>
  <dcterms:modified xsi:type="dcterms:W3CDTF">2024-12-21T12:24:00Z</dcterms:modified>
</cp:coreProperties>
</file>