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IX Demand Forecast — Practical Exercise</w:t>
      </w:r>
    </w:p>
    <w:p>
      <w:r>
        <w:t>PURPOSE: Demonstrate the ability to construct a 30-day Class IX (repair parts) demand forecast for a notional rifle battalion per MCWP 4-11.7 Ch 4 and MCO 4790.25.</w:t>
      </w:r>
    </w:p>
    <w:p>
      <w:r>
        <w:t>TASK: Using the historical consumption data provided (xlsx tab 'consumption'), forecast 30-day demand by NSN for the top 50 line items. Identify the top three risk lines (longest expected ASL gap).</w:t>
      </w:r>
    </w:p>
    <w:p>
      <w:r>
        <w:t>FORMAT: Submit a 600-900 word memo + the completed worksheet. Cite MCO 4400.16K UMMIPS priority assignment for any lines pushed to a higher priority designator.</w:t>
      </w:r>
    </w:p>
    <w:p>
      <w:r>
        <w:t>GRADING: Per the attached rubric.xlsx (5 axes, 0-5).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