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 IX Demand Forecast — PE — Cpl Chen, L.</w:t>
      </w:r>
    </w:p>
    <w:p>
      <w:r>
        <w:t>PURPOSE. This memo forecasts 30-day Class IX demand for a notional rifle battalion using the historical consumption data provided.</w:t>
      </w:r>
    </w:p>
    <w:p>
      <w:r>
        <w:t>METHOD. I averaged the past 90 days of consumption from the xlsx and projected forward 30 days. I used a flat projection because I was not sure how to do a trend line in the worksheet.</w:t>
      </w:r>
    </w:p>
    <w:p>
      <w:r>
        <w:t>RESULTS. The top 50 NSNs are listed in the worksheet tab DEMAND. The top three risk lines are: (1) NSN 5180-01-XXX-XXXX hex set, (2) NSN 5905-01-XXX-XXXX resistor pack, (3) NSN 6135-01-XXX-XXXX battery 12V.</w:t>
      </w:r>
    </w:p>
    <w:p>
      <w:r>
        <w:t>PRIORITY DESIGNATORS. I left all lines at the routine priority designator. I am not sure when to push something to a higher PD.</w:t>
      </w:r>
    </w:p>
    <w:p>
      <w:r>
        <w:t>WEAKNESSES IN MY OWN WORK. I know I did not cite MCO 4400.16K. I did not really understand the UMMIPS section. I'm going to read MCO 4400.16K Ch 2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