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autoSpaceDN w:val="0"/>
        <w:autoSpaceDE w:val="0"/>
        <w:widowControl/>
        <w:spacing w:line="270" w:lineRule="exact" w:before="0" w:after="346"/>
        <w:ind w:left="144" w:right="0" w:firstLine="0"/>
        <w:jc w:val="center"/>
      </w:pPr>
      <w:r>
        <w:rPr>
          <w:rFonts w:ascii="" w:hAnsi="" w:eastAsia=""/>
          <w:b/>
          <w:i w:val="0"/>
          <w:color w:val="000000"/>
          <w:sz w:val="22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Российского </w:t>
      </w:r>
      <w:r>
        <w:rPr>
          <w:rFonts w:ascii="" w:hAnsi="" w:eastAsia=""/>
          <w:b/>
          <w:i w:val="0"/>
          <w:color w:val="000000"/>
          <w:sz w:val="22"/>
        </w:rPr>
        <w:t xml:space="preserve">научного фонда «Проведение фундаментальных научных исследований и поисковых научных исследований международными научными </w:t>
      </w:r>
      <w:r>
        <w:rPr>
          <w:rFonts w:ascii="" w:hAnsi="" w:eastAsia=""/>
          <w:b/>
          <w:i w:val="0"/>
          <w:color w:val="000000"/>
          <w:sz w:val="22"/>
        </w:rPr>
        <w:t xml:space="preserve">коллективами» (совместно с Австрийским научным фондом – FWF)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086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0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31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88" w:right="144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Российская организация -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адресат финансирования </w:t>
            </w:r>
          </w:p>
        </w:tc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432" w:right="288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российского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288" w:right="288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зарубежного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432" w:right="432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Зарубежная </w:t>
            </w: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</w:tr>
      <w:tr>
        <w:trPr>
          <w:trHeight w:hRule="exact" w:val="1618"/>
        </w:trPr>
        <w:tc>
          <w:tcPr>
            <w:tcW w:type="dxa" w:w="6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0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22-41-</w:t>
            </w: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05001</w:t>
            </w:r>
          </w:p>
        </w:tc>
        <w:tc>
          <w:tcPr>
            <w:tcW w:type="dxa" w:w="29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Диофантовы приближения,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арифметические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последовательности и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аналитическая теория чисел </w:t>
            </w:r>
          </w:p>
        </w:tc>
        <w:tc>
          <w:tcPr>
            <w:tcW w:type="dxa" w:w="31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учреждение науки "Институт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прикладной математики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Дальневосточного отделения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2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Устинов А.В. </w:t>
            </w:r>
          </w:p>
        </w:tc>
        <w:tc>
          <w:tcPr>
            <w:tcW w:type="dxa" w:w="22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Drmota M. </w:t>
            </w:r>
          </w:p>
        </w:tc>
        <w:tc>
          <w:tcPr>
            <w:tcW w:type="dxa" w:w="23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Vienna University of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  <w:tr>
        <w:trPr>
          <w:trHeight w:hRule="exact" w:val="1622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07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22-42-</w:t>
            </w: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05002</w:t>
            </w:r>
          </w:p>
        </w:tc>
        <w:tc>
          <w:tcPr>
            <w:tcW w:type="dxa" w:w="29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88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Охлаждение частиц с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внутренними степенями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свободы </w:t>
            </w:r>
          </w:p>
        </w:tc>
        <w:tc>
          <w:tcPr>
            <w:tcW w:type="dxa" w:w="31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288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Рождественский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Ю.В. </w:t>
            </w:r>
          </w:p>
        </w:tc>
        <w:tc>
          <w:tcPr>
            <w:tcW w:type="dxa" w:w="22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Northup E.T.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Leopold-Franzens-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Universität Innsbruck </w:t>
            </w:r>
          </w:p>
        </w:tc>
      </w:tr>
      <w:tr>
        <w:trPr>
          <w:trHeight w:hRule="exact" w:val="2140"/>
        </w:trPr>
        <w:tc>
          <w:tcPr>
            <w:tcW w:type="dxa" w:w="6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07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22-42-</w:t>
            </w:r>
            <w:r>
              <w:rPr>
                <w:rFonts w:ascii="" w:hAnsi="" w:eastAsia=""/>
                <w:b w:val="0"/>
                <w:i w:val="0"/>
                <w:color w:val="0463C1"/>
                <w:sz w:val="22"/>
                <w:u w:val="single"/>
              </w:rPr>
              <w:t>05004</w:t>
            </w:r>
          </w:p>
        </w:tc>
        <w:tc>
          <w:tcPr>
            <w:tcW w:type="dxa" w:w="297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288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Новые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магнитоэлектрические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явления, обусловленные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различием локальной и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глобальной симметрий </w:t>
            </w:r>
          </w:p>
        </w:tc>
        <w:tc>
          <w:tcPr>
            <w:tcW w:type="dxa" w:w="31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Федеральное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государственное бюджетное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учреждение науки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Федеральный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"Институт общей физики им.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22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Мухин А.А. </w:t>
            </w:r>
          </w:p>
        </w:tc>
        <w:tc>
          <w:tcPr>
            <w:tcW w:type="dxa" w:w="22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Pimenov A </w:t>
            </w:r>
          </w:p>
        </w:tc>
        <w:tc>
          <w:tcPr>
            <w:tcW w:type="dxa" w:w="237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Institute of Solid State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Physics of Vienna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University of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Technology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424" w:right="1114" w:bottom="1440" w:left="1128" w:header="720" w:footer="720" w:gutter="0"/>
      <w:cols w:space="720" w:num="1" w:equalWidth="0">
        <w:col w:w="145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