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Director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Codi number(9) PRIMARY KEY CHECK(codi&gt;0),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Nom varchar2(20)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Cognom1 varchar(20)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Cognom2 varchar(20),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Any_naixement date check (Any_naixement &gt; to_date('01-01-1800','dd-mm-yyyy') AND Any_naixement &lt; to_date('01-01-2020','dd-mm-yyyy')),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Nacionalitat varchar(20) default 'desconeguda'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Tema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Codi number(9) PRIMARY KEY CHECK(codi&gt;0),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Nom varchar2(20) NOT NULL Check (Nom=upper(Nom)),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Constraint AK_Nom UNIQUE (Nom)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Peliculess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Codi number(9) PRIMARY KEY CHECK(codi&gt;0),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Titol varchar2(20)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Pressupost number(20) default 0 CHECK(codi&gt;=0) 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Any_ varchar(20) default to_date('01-01-2020','dd-mm-yyyy'),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codiT number(9) references Temaa(Codi) on delete set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codiD number(9) references Direct(Codi) on delete cascade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Actor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Codi number(9) PRIMARY KEY CHECK(codi&gt;0),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Nom varchar2(20)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Cognom1 varchar(20)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Cognom2 varchar(20)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Interpretar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codiP number(9) references Pelicules(Codi) on delete cascade,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codiA number(9) references Actor(Codi) on delete cascade,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rol varchar2(20) check (rol='principal' and rol='secundari' and rol='extra' and rol='altre')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Especialista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codiA number(9) references Actor(Codi)on delete cascade,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codiT number(9) references Tema(Codi)on delete cascade,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Grau number(9)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Ser_substitut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codiA1 number(9) references Actor(Codi)on delete cascade,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codiA2 number(9) references Actor(Codi)on delete cascade,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Grau varchar2(20)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