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Jordan University of Science and Technology</w:t>
      </w:r>
    </w:p>
    <w:p>
      <w:pPr>
        <w:jc w:val="center"/>
      </w:pPr>
      <w:r>
        <w:rPr>
          <w:b/>
          <w:sz w:val="26"/>
        </w:rPr>
        <w:t>College of Computer Sciences and Information Technology</w:t>
      </w:r>
    </w:p>
    <w:p>
      <w:pPr>
        <w:jc w:val="center"/>
      </w:pPr>
      <w:r>
        <w:rPr>
          <w:b/>
          <w:sz w:val="26"/>
        </w:rPr>
        <w:t>Department of Software Engineering</w:t>
      </w:r>
    </w:p>
    <w:p/>
    <w:p/>
    <w:p/>
    <w:p>
      <w:pPr>
        <w:jc w:val="center"/>
      </w:pPr>
      <w:r>
        <w:rPr>
          <w:b/>
          <w:sz w:val="52"/>
        </w:rPr>
        <w:t>DentyHub</w:t>
      </w:r>
    </w:p>
    <w:p>
      <w:pPr>
        <w:jc w:val="center"/>
      </w:pPr>
      <w:r>
        <w:rPr>
          <w:i/>
          <w:sz w:val="24"/>
        </w:rPr>
        <w:t>A Supervised Dental Training Platform Connecting Patients, Student Doctors, Clinical Supervisors, and Administrators</w:t>
      </w:r>
    </w:p>
    <w:p/>
    <w:p>
      <w:pPr>
        <w:jc w:val="center"/>
      </w:pPr>
      <w:r>
        <w:rPr>
          <w:b/>
          <w:sz w:val="30"/>
        </w:rPr>
        <w:t>Graduation Project Individual Reflection Report</w:t>
      </w:r>
    </w:p>
    <w:p/>
    <w:p/>
    <w:p>
      <w:pPr>
        <w:jc w:val="center"/>
      </w:pPr>
      <w:r>
        <w:rPr>
          <w:i/>
        </w:rPr>
        <w:t>Prepared by</w:t>
      </w:r>
    </w:p>
    <w:p>
      <w:pPr>
        <w:jc w:val="center"/>
      </w:pPr>
      <w:r>
        <w:rPr>
          <w:sz w:val="26"/>
        </w:rPr>
        <w:t>Batool Amin Ali Allatayfeh (Student ID: 152284)</w:t>
      </w:r>
    </w:p>
    <w:p/>
    <w:p>
      <w:pPr>
        <w:jc w:val="center"/>
      </w:pPr>
      <w:r>
        <w:rPr>
          <w:i/>
        </w:rPr>
        <w:t>Supervised by</w:t>
      </w:r>
    </w:p>
    <w:p>
      <w:pPr>
        <w:jc w:val="center"/>
      </w:pPr>
      <w:r>
        <w:rPr>
          <w:sz w:val="24"/>
        </w:rPr>
        <w:t>Dr. Zakarea M. Al Shara'a</w:t>
      </w:r>
    </w:p>
    <w:p/>
    <w:p/>
    <w:p>
      <w:pPr>
        <w:jc w:val="center"/>
      </w:pPr>
      <w:r>
        <w:rPr>
          <w:b/>
        </w:rPr>
        <w:t>May 2026</w:t>
      </w:r>
    </w:p>
    <w:p>
      <w:r>
        <w:br w:type="page"/>
      </w:r>
    </w:p>
    <w:p>
      <w:pPr>
        <w:pStyle w:val="Heading2"/>
      </w:pPr>
      <w:r>
        <w:t>Undertaking</w:t>
      </w:r>
    </w:p>
    <w:p>
      <w:r>
        <w:rPr>
          <w:b w:val="0"/>
          <w:i w:val="0"/>
        </w:rPr>
        <w:t>I hereby declare that the project titled "DentyHub: A Supervised Dental Training Platform" is an original work conducted by the undersigned team in partial fulfillment of the requirements for the Bachelor of Science degree in Software Engineering at the Department of Software Engineering, Jordan University of Science and Technology, Irbid, Jordan.</w:t>
      </w:r>
    </w:p>
    <w:p>
      <w:r>
        <w:rPr>
          <w:b w:val="0"/>
          <w:i w:val="0"/>
        </w:rPr>
        <w:t>The lessons, observations, and individual contributions described in this reflection report represent an honest assessment of the role the undersigned personally fulfilled within the project team. The literature and external software components referenced in this work are cited in the References section of the group report. This individual report has not been submitted, in whole or in part, to any other university or academic institution.</w:t>
      </w:r>
    </w:p>
    <w:p/>
    <w:p/>
    <w:p>
      <w:r>
        <w:rPr>
          <w:b w:val="0"/>
          <w:i w:val="0"/>
        </w:rPr>
        <w:t>Student Name: Batool Amin Ali Allatayfeh</w:t>
      </w:r>
    </w:p>
    <w:p/>
    <w:p>
      <w:r>
        <w:rPr>
          <w:b w:val="0"/>
          <w:i w:val="0"/>
        </w:rPr>
        <w:t>Signature: ____________________________</w:t>
      </w:r>
    </w:p>
    <w:p/>
    <w:p>
      <w:r>
        <w:rPr>
          <w:b w:val="0"/>
          <w:i w:val="0"/>
        </w:rPr>
        <w:t>Date: ____ / ____ / 2026</w:t>
      </w:r>
    </w:p>
    <w:p>
      <w:r>
        <w:br w:type="page"/>
      </w:r>
    </w:p>
    <w:p>
      <w:pPr>
        <w:pStyle w:val="Heading2"/>
      </w:pPr>
      <w:r>
        <w:t>Contents</w:t>
      </w:r>
    </w:p>
    <w:p>
      <w:r>
        <w:rPr>
          <w:b w:val="0"/>
          <w:i/>
        </w:rPr>
        <w:t>The reader may regenerate the page-numbered Table of Contents by placing the cursor below this line and selecting References → Table of Contents → Update Field in Microsoft Word. The TOC is produced from the Heading 2 and Heading 3 styles applied throughout this document.</w:t>
      </w:r>
    </w:p>
    <w:p>
      <w:r>
        <w:rPr>
          <w:b w:val="0"/>
          <w:i/>
        </w:rPr>
        <w:t>[ The Table of Contents will be rendered here upon Update Field. ]</w:t>
      </w:r>
    </w:p>
    <w:p>
      <w:r>
        <w:br w:type="page"/>
      </w:r>
    </w:p>
    <w:p>
      <w:pPr>
        <w:pStyle w:val="Heading2"/>
      </w:pPr>
      <w:r>
        <w:t>CHAPTER 1: Lessons Learned</w:t>
      </w:r>
    </w:p>
    <w:p>
      <w:r>
        <w:rPr>
          <w:b w:val="0"/>
          <w:i w:val="0"/>
        </w:rPr>
        <w:t>This chapter documents the lessons derived from the author's participation in the DentyHub project. The reflection is organised into three categories: strategies and processes that contributed to the success of the author's deliverables; areas in which the author's approach could be improved; and broader observations gained through participation in a multi-person software engineering project.</w:t>
      </w:r>
    </w:p>
    <w:p>
      <w:pPr>
        <w:pStyle w:val="Heading3"/>
      </w:pPr>
      <w:r>
        <w:t>1.1 Strategies and Processes that led to Success</w:t>
      </w:r>
    </w:p>
    <w:p>
      <w:r>
        <w:rPr>
          <w:b w:val="0"/>
          <w:i w:val="0"/>
        </w:rPr>
        <w:t>The author's principal contribution to DentyHub comprised the implementation of the authentication infrastructure - registration, login, session establishment, and password management - together with the user profile editing surfaces and the user profile reporting workflow. The authentication infrastructure encompasses password hashing via the bcryptjs library, JSON Web Token issuance and verification via the passport-jwt library, the placement of authorisation guards (JwtAuthGuard and AdminGuard) at the controller layer, and the migration from the legacy header-based actor identification pattern to the present token-based pattern.</w:t>
      </w:r>
    </w:p>
    <w:p>
      <w:r>
        <w:rPr>
          <w:b w:val="0"/>
          <w:i w:val="0"/>
        </w:rPr>
        <w:t>The decision to place the AdminGuard at the controller layer rather than at the route table proved sound. Route-table guarding has the advantage of declarative specification but presents a failure mode in which a newly added controller silently leaks data when the corresponding route-table entry is omitted. Controller-layer guarding co-locates the authorisation check with the data it protects, eliminating the failure mode at the cost of slightly more verbose specification. NFR-6 of the group report captures this design decision.</w:t>
      </w:r>
    </w:p>
    <w:p>
      <w:r>
        <w:rPr>
          <w:b w:val="0"/>
          <w:i w:val="0"/>
        </w:rPr>
        <w:t>Beyond the contribution described above, the author attended weekly supervisory check-ins with Dr. Zakarea M. Al Shara'a and participated in code review on pull requests covering work surfaces adjacent to the author's own. Observing the project lead's discipline regarding data-model design and migration management contributed to the author's understanding of professional software engineering practice, which the author characterises as the consistent application of small habits rather than the occasional execution of large heroic actions.</w:t>
      </w:r>
    </w:p>
    <w:p>
      <w:pPr>
        <w:pStyle w:val="Heading3"/>
      </w:pPr>
      <w:r>
        <w:t>1.2 Areas of potential improvement</w:t>
      </w:r>
    </w:p>
    <w:p>
      <w:r>
        <w:rPr>
          <w:b w:val="0"/>
          <w:i w:val="0"/>
        </w:rPr>
        <w:t>The failed-login lockout behaviour (NFR-13: five failed attempts within five minutes locks the account for five minutes) should have been verified by an automated test prior to manual scenario testing. The chosen sequence of implementation followed by manual verification permitted a clock-skew edge case to remain undetected until late in GP2. Test-first development would have surfaced the defect immediately.</w:t>
      </w:r>
    </w:p>
    <w:p>
      <w:r>
        <w:rPr>
          <w:b w:val="0"/>
          <w:i w:val="0"/>
        </w:rPr>
        <w:t>Additionally, the author observes that engagement with the wider architectural decisions of the project could have been more substantial. The focused scope of the author's contribution during GP2 was appropriate to the time available and to the depth required for the chosen specialisation; however, broader participation in architectural discussion would have enhanced the author's confidence when addressing system-level questions. In future projects, the author intends to combine focused specialisation with one stretch contribution at the architectural level.</w:t>
      </w:r>
    </w:p>
    <w:p>
      <w:pPr>
        <w:pStyle w:val="Heading3"/>
      </w:pPr>
      <w:r>
        <w:t>1.3 Other lessons learned</w:t>
      </w:r>
    </w:p>
    <w:p>
      <w:r>
        <w:rPr>
          <w:b w:val="0"/>
          <w:i w:val="0"/>
        </w:rPr>
        <w:t>Authentication implementation is principally concerned with precise rejection of unauthorised access. Each additional endpoint introduces an additional opportunity for unauthorised access if the appropriate guard is omitted; each exception to the standard authorisation policy (impersonation for support purposes, elevated administrator actions, and the partner-doctor case in which one doctor may access another doctor's appointment data) represents an additional row in an implicit permissions matrix. The lesson is that maintaining this permissions matrix as explicit documentation is preferable to maintaining it as implicit team knowledge.</w:t>
      </w:r>
    </w:p>
    <w:p>
      <w:r>
        <w:rPr>
          <w:b w:val="0"/>
          <w:i w:val="0"/>
        </w:rPr>
        <w:t>The author additionally observes that working on a project addressing a tangible social purpose - the provision of supervised dental care to patients who would otherwise lack access to it - differs qualitatively from the abstraction of standard coursework. The user is no longer an abstract specification but a person whose interaction with the system has practical consequences. Conversations with practitioners from the Faculty of Dentistry clarifying the operational meaning of clinical concepts (for example, the precise definition of a redo request) made the data-model decisions more concrete than they would otherwise have been.</w:t>
      </w:r>
    </w:p>
    <w:p>
      <w:r>
        <w:br w:type="page"/>
      </w:r>
    </w:p>
    <w:p>
      <w:pPr>
        <w:pStyle w:val="Heading2"/>
      </w:pPr>
      <w:r>
        <w:t>CHAPTER 2: Individual Contributions</w:t>
      </w:r>
    </w:p>
    <w:p>
      <w:r>
        <w:rPr>
          <w:b w:val="0"/>
          <w:i w:val="0"/>
        </w:rPr>
        <w:t>This chapter characterises the author's contribution to DentyHub. Qualitative claims are cross-referenced to the corresponding sections, figures, features, requirements, and test cases of the group report.</w:t>
      </w:r>
    </w:p>
    <w:p>
      <w:pPr>
        <w:pStyle w:val="Heading3"/>
      </w:pPr>
      <w:r>
        <w:t>2.1 Amount of Work</w:t>
      </w:r>
    </w:p>
    <w:p>
      <w:r>
        <w:rPr>
          <w:b w:val="0"/>
          <w:i w:val="0"/>
        </w:rPr>
        <w:t>The author's contribution to DentyHub comprised a deliverable scoped to be defensible at the level of detail required by the project viva. The deliverable - "Authentication infrastructure, user profile management, and identity-related surfaces" - was executed against the project freeze build during the final two weeks of GP2 and is documented in the artefacts contributed to the project repository.</w:t>
      </w:r>
    </w:p>
    <w:p>
      <w:pPr>
        <w:pStyle w:val="Heading3"/>
      </w:pPr>
      <w:r>
        <w:t>2.2 Quality of Work</w:t>
      </w:r>
    </w:p>
    <w:p>
      <w:r>
        <w:rPr>
          <w:b w:val="0"/>
          <w:i w:val="0"/>
        </w:rPr>
        <w:t>The quality standard applied to this deliverable required that each observation produced by the author be reproducible by a different team member from the same starting state, and that each defect or design decision filed be sufficiently precise that the receiving team member could act upon it without further consultation. Concretely, the author recorded the actual behaviour against the expected behaviour for each case considered, and re-validated the failing cases after the corresponding fixes were applied. The discipline of re-validation, while readily omitted under deadline pressure, prevents regression and was treated as non-optional in this deliverable.</w:t>
      </w:r>
    </w:p>
    <w:p>
      <w:pPr>
        <w:pStyle w:val="Heading3"/>
      </w:pPr>
      <w:r>
        <w:t>2.3 Specialized Contributions</w:t>
      </w:r>
    </w:p>
    <w:p>
      <w:r>
        <w:rPr>
          <w:b/>
          <w:i w:val="0"/>
        </w:rPr>
        <w:t>Specialisation: Authentication, identity management, and user profile infrastructure.</w:t>
      </w:r>
    </w:p>
    <w:p>
      <w:r>
        <w:rPr>
          <w:b w:val="0"/>
          <w:i w:val="0"/>
        </w:rPr>
        <w:t>The author implemented the authentication module located at backend/src/auth. The AuthService exposes the registration, login, change-password, update-profile, and resend-credential-request operations. The AuthController exposes the corresponding HTTP endpoints. The JwtStrategy and JwtAuthGuard implement the passport-jwt integration. The AdminGuard implements the elevated authorisation check. The @CurrentUser decorator and the JwtPayload type support the controller-layer access pattern. Passwords are hashed via bcryptjs at a cost factor of 10; the JSON Web Token is signed with the JWT_SECRET environment variable and expires after seven days. The failed-login lockout (five failed attempts within five minutes locking the account for five minutes) is enforced at the server side. The migration from the legacy x-actor-* header pattern to the present token-based pattern was completed in a single commit with end-to-end replacement of the authentication workflow and complete commit-message documentation.</w:t>
      </w:r>
    </w:p>
    <w:p>
      <w:r>
        <w:rPr>
          <w:b w:val="0"/>
          <w:i w:val="0"/>
        </w:rPr>
        <w:t>The user profile surfaces built upon the authentication identity comprise the profile editing workflow (name, telephone number, biographical text, and profile picture; with administrator-only fields locked); the profile popup (the public profile view displayed when any user clicks another user's avatar); and the UserProfileReport queue, which permits any user to file a misconduct report against another user for administrator review. The profile data structures are centralised within frontend/src/features/profiles so that all four role-specific profile views consume the same underlying component rather than re-implementing the data presentation independently.</w:t>
      </w:r>
    </w:p>
    <w:p>
      <w:pPr>
        <w:pStyle w:val="Heading3"/>
      </w:pPr>
      <w:r>
        <w:t>2.4 Initiative and Reliability</w:t>
      </w:r>
    </w:p>
    <w:p>
      <w:r>
        <w:rPr>
          <w:b w:val="0"/>
          <w:i w:val="0"/>
        </w:rPr>
        <w:t>The author proposed the scope of the present deliverable, executed it without requiring detailed guidance from the project lead, and reported completion through the project's standard communication channel on the same day as the freeze pass concluded. The deliverable was completed within the originally committed timeframe.</w:t>
      </w:r>
    </w:p>
    <w:p>
      <w:r>
        <w:rPr>
          <w:b w:val="0"/>
          <w:i w:val="0"/>
        </w:rPr>
        <w:t>Reliability is documented by the sign-off message posted at the conclusion of the freeze pass and by the absence of subsequent rework requirements arising from the deliverable.</w:t>
      </w:r>
    </w:p>
    <w:p>
      <w:r>
        <w:br w:type="page"/>
      </w:r>
    </w:p>
    <w:p>
      <w:pPr>
        <w:pStyle w:val="Heading2"/>
      </w:pPr>
      <w:r>
        <w:t>CHAPTER 3: Conclusion and Results</w:t>
      </w:r>
    </w:p>
    <w:p>
      <w:r>
        <w:rPr>
          <w:b w:val="0"/>
          <w:i w:val="0"/>
        </w:rPr>
        <w:t>The authentication infrastructure implemented by the author constitutes the gateway through which all DentyHub requests pass. It is documented in the group report as feature F1 (account registration and JWT login); is subject to non-functional requirements NFR-1 through NFR-5 of the security cluster in Section 2.2; is validated by test cases TC-01 through TC-05 in Section 5.2; and is enumerated row by row in Appendix C for every /auth/* endpoint. The user profile surfaces (features F4, F28, and F30) extend this same identity infrastructure. No subsequent component of the system functions correctly if this layer is incorrect, a property that justified the deliberate pace of implementation.</w:t>
      </w:r>
    </w:p>
    <w:p>
      <w:r>
        <w:rPr>
          <w:b w:val="0"/>
          <w:i w:val="0"/>
        </w:rPr>
        <w:t>Considered in the wider context of the project, DentyHub constitutes a four-role platform encompassing the full case lifecycle from patient request to supervisor-approved case report, augmented by a patient engagement layer (streak, badges, six arcade games, and a daily trivia quiz) and complete English and Arabic localisation with right-to-left presentation on every patient-facing screen. The author's deliverable integrates into this wider system as one verifiable thread of contribution; the full system documentation appears in Chapters 1 through 5 and the twelve appendices of the group report.</w:t>
      </w:r>
    </w:p>
    <w:p>
      <w:r>
        <w:rPr>
          <w:b w:val="0"/>
          <w:i w:val="0"/>
        </w:rPr>
        <w:t>The most significant result the author identifies for personal carry-forward is the experience of taking sole responsibility for a defined component of a real system. This experience differs from coursework in that the deliverable will be examined by a panel and may subsequently be used in production. Awareness of this downstream consumption altered the author's working standard during execution and constitutes the principal professional skill developed through participation in the project.</w:t>
      </w:r>
    </w:p>
    <w:p>
      <w:r>
        <w:rPr>
          <w:b w:val="0"/>
          <w:i w:val="0"/>
        </w:rPr>
        <w:t>The author gratefully acknowledges Dr. Zakarea M. Al Shara'a for the project supervision; Omar Mohammed Subhi Al Shamali for the technical leadership of the team and the codebase; and the remaining team members for their respective contributions, which are documented in their individual reflection reports.</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