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and Information Technology</w:t>
      </w:r>
    </w:p>
    <w:p>
      <w:pPr>
        <w:jc w:val="center"/>
      </w:pPr>
      <w:r>
        <w:rPr>
          <w:b/>
          <w:sz w:val="26"/>
        </w:rPr>
        <w:t>Department of Software Engineering</w:t>
      </w:r>
    </w:p>
    <w:p/>
    <w:p/>
    <w:p/>
    <w:p>
      <w:pPr>
        <w:jc w:val="center"/>
      </w:pPr>
      <w:r>
        <w:rPr>
          <w:b/>
          <w:sz w:val="52"/>
        </w:rPr>
        <w:t>DentyHub</w:t>
      </w:r>
    </w:p>
    <w:p>
      <w:pPr>
        <w:jc w:val="center"/>
      </w:pPr>
      <w:r>
        <w:rPr>
          <w:i/>
          <w:sz w:val="24"/>
        </w:rPr>
        <w:t>A Supervised Dental Training Platform Connecting Patients, Student Doctors, Clinical Supervisors, and Administrators</w:t>
      </w:r>
    </w:p>
    <w:p/>
    <w:p>
      <w:pPr>
        <w:jc w:val="center"/>
      </w:pPr>
      <w:r>
        <w:rPr>
          <w:b/>
          <w:sz w:val="30"/>
        </w:rPr>
        <w:t>Graduation Project Individual Reflection Report</w:t>
      </w:r>
    </w:p>
    <w:p/>
    <w:p/>
    <w:p>
      <w:pPr>
        <w:jc w:val="center"/>
      </w:pPr>
      <w:r>
        <w:rPr>
          <w:i/>
        </w:rPr>
        <w:t>Prepared by</w:t>
      </w:r>
    </w:p>
    <w:p>
      <w:pPr>
        <w:jc w:val="center"/>
      </w:pPr>
      <w:r>
        <w:rPr>
          <w:sz w:val="26"/>
        </w:rPr>
        <w:t>Nabeel Fadl Nabeel Aldalqamoni (Student ID: 158189)</w:t>
      </w:r>
    </w:p>
    <w:p/>
    <w:p>
      <w:pPr>
        <w:jc w:val="center"/>
      </w:pPr>
      <w:r>
        <w:rPr>
          <w:i/>
        </w:rPr>
        <w:t>Supervised by</w:t>
      </w:r>
    </w:p>
    <w:p>
      <w:pPr>
        <w:jc w:val="center"/>
      </w:pPr>
      <w:r>
        <w:rPr>
          <w:sz w:val="24"/>
        </w:rPr>
        <w:t>Dr. Zakarea M. Al Shara'a</w:t>
      </w:r>
    </w:p>
    <w:p/>
    <w:p/>
    <w:p>
      <w:pPr>
        <w:jc w:val="center"/>
      </w:pPr>
      <w:r>
        <w:rPr>
          <w:b/>
        </w:rPr>
        <w:t>May 2026</w:t>
      </w:r>
    </w:p>
    <w:p>
      <w:r>
        <w:br w:type="page"/>
      </w:r>
    </w:p>
    <w:p>
      <w:pPr>
        <w:pStyle w:val="Heading2"/>
      </w:pPr>
      <w:r>
        <w:t>Undertaking</w:t>
      </w:r>
    </w:p>
    <w:p>
      <w:r>
        <w:rPr>
          <w:b w:val="0"/>
          <w:i w:val="0"/>
        </w:rPr>
        <w:t>I hereby declare that the project titled "DentyHub: A Supervised Dental Training Platform" is an original work conducted by the undersigned team in partial fulfillment of the requirements for the Bachelor of Science degree in Software Engineering at the Department of Software Engineering, Jordan University of Science and Technology, Irbid, Jordan.</w:t>
      </w:r>
    </w:p>
    <w:p>
      <w:r>
        <w:rPr>
          <w:b w:val="0"/>
          <w:i w:val="0"/>
        </w:rPr>
        <w:t>The lessons, observations, and individual contributions described in this reflection report represent an honest assessment of the role the undersigned personally fulfilled within the project team. The literature and external software components referenced in this work are cited in the References section of the group report. This individual report has not been submitted, in whole or in part, to any other university or academic institution.</w:t>
      </w:r>
    </w:p>
    <w:p/>
    <w:p/>
    <w:p>
      <w:r>
        <w:rPr>
          <w:b w:val="0"/>
          <w:i w:val="0"/>
        </w:rPr>
        <w:t>Student Name: Nabeel Fadl Nabeel Aldalqamoni</w:t>
      </w:r>
    </w:p>
    <w:p/>
    <w:p>
      <w:r>
        <w:rPr>
          <w:b w:val="0"/>
          <w:i w:val="0"/>
        </w:rPr>
        <w:t>Signature: ____________________________</w:t>
      </w:r>
    </w:p>
    <w:p/>
    <w:p>
      <w:r>
        <w:rPr>
          <w:b w:val="0"/>
          <w:i w:val="0"/>
        </w:rPr>
        <w:t>Date: ____ / ____ / 2026</w:t>
      </w:r>
    </w:p>
    <w:p>
      <w:r>
        <w:br w:type="page"/>
      </w:r>
    </w:p>
    <w:p>
      <w:pPr>
        <w:pStyle w:val="Heading2"/>
      </w:pPr>
      <w:r>
        <w:t>Contents</w:t>
      </w:r>
    </w:p>
    <w:p>
      <w:r>
        <w:rPr>
          <w:b w:val="0"/>
          <w:i/>
        </w:rPr>
        <w:t>The reader may regenerate the page-numbered Table of Contents by placing the cursor below this line and selecting References → Table of Contents → Update Field in Microsoft Word. The TOC is produced from the Heading 2 and Heading 3 styles applied throughout this document.</w:t>
      </w:r>
    </w:p>
    <w:p>
      <w:r>
        <w:rPr>
          <w:b w:val="0"/>
          <w:i/>
        </w:rPr>
        <w:t>[ The Table of Contents will be rendered here upon Update Field. ]</w:t>
      </w:r>
    </w:p>
    <w:p>
      <w:r>
        <w:br w:type="page"/>
      </w:r>
    </w:p>
    <w:p>
      <w:pPr>
        <w:pStyle w:val="Heading2"/>
      </w:pPr>
      <w:r>
        <w:t>CHAPTER 1: Lessons Learned</w:t>
      </w:r>
    </w:p>
    <w:p>
      <w:r>
        <w:rPr>
          <w:b w:val="0"/>
          <w:i w:val="0"/>
        </w:rPr>
        <w:t>This chapter documents the lessons derived from the author's participation in the DentyHub project. The reflection is organised into three categories: strategies and processes that contributed to the success of the author's deliverables; areas in which the author's approach could be improved; and broader observations gained through participation in a multi-person software engineering project.</w:t>
      </w:r>
    </w:p>
    <w:p>
      <w:pPr>
        <w:pStyle w:val="Heading3"/>
      </w:pPr>
      <w:r>
        <w:t>1.1 Strategies and Processes that led to Success</w:t>
      </w:r>
    </w:p>
    <w:p>
      <w:r>
        <w:rPr>
          <w:b w:val="0"/>
          <w:i w:val="0"/>
        </w:rPr>
        <w:t>The author's principal contributions to DentyHub comprised four interrelated work products: the use case analysis defining the capabilities available to each user role; the high-level system architecture diagram documenting the four-tier structure of the platform; the implementation of the per-game per-level arcade leaderboard and the Healthy Smile Streak leaderboard; and the capture and integration of the thirty-eight screenshots evidencing Chapter 4 of the group report.</w:t>
      </w:r>
    </w:p>
    <w:p>
      <w:r>
        <w:rPr>
          <w:b w:val="0"/>
          <w:i w:val="0"/>
        </w:rPr>
        <w:t>The decision to perform use case analysis prior to architectural design proved productive. The use case diagram (Figure 3.2 of the group report) enumerates the capabilities available to each of the four user roles, and this enumeration informed both the functional-features table in Section 2.1 and the layered architecture diagram in Figure 3.1. Investing analytical effort in the use cases before architectural design ensured that the architecture decomposition reflected actual system capabilities rather than speculative ones.</w:t>
      </w:r>
    </w:p>
    <w:p>
      <w:r>
        <w:rPr>
          <w:b w:val="0"/>
          <w:i w:val="0"/>
        </w:rPr>
        <w:t>Beyond the contribution described above, the author attended weekly supervisory check-ins with Dr. Zakarea M. Al Shara'a and participated in code review on pull requests covering work surfaces adjacent to the author's own. Observing the project lead's discipline regarding data-model design and migration management contributed to the author's understanding of professional software engineering practice, which the author characterises as the consistent application of small habits rather than the occasional execution of large heroic actions.</w:t>
      </w:r>
    </w:p>
    <w:p>
      <w:pPr>
        <w:pStyle w:val="Heading3"/>
      </w:pPr>
      <w:r>
        <w:t>1.2 Areas of potential improvement</w:t>
      </w:r>
    </w:p>
    <w:p>
      <w:r>
        <w:rPr>
          <w:b w:val="0"/>
          <w:i w:val="0"/>
        </w:rPr>
        <w:t>The leaderboard user interface was constructed prior to the finalisation of the ranking semantics, which necessitated two subsequent layout revisions when the metric definitions were clarified. In retrospect, the metric definitions - the distinction between current streak, best-ever streak, and cumulative points; and between per-game per-level ranking and combined ranking - should have been documented before the user interface design commenced.</w:t>
      </w:r>
    </w:p>
    <w:p>
      <w:r>
        <w:rPr>
          <w:b w:val="0"/>
          <w:i w:val="0"/>
        </w:rPr>
        <w:t>Additionally, the author observes that engagement with the wider architectural decisions of the project could have been more substantial. The focused scope of the author's contribution during GP2 was appropriate to the time available and to the depth required for the chosen specialisation; however, broader participation in architectural discussion would have enhanced the author's confidence when addressing system-level questions. In future projects, the author intends to combine focused specialisation with one stretch contribution at the architectural level.</w:t>
      </w:r>
    </w:p>
    <w:p>
      <w:pPr>
        <w:pStyle w:val="Heading3"/>
      </w:pPr>
      <w:r>
        <w:t>1.3 Other lessons learned</w:t>
      </w:r>
    </w:p>
    <w:p>
      <w:r>
        <w:rPr>
          <w:b w:val="0"/>
          <w:i w:val="0"/>
        </w:rPr>
        <w:t>Documentation figures bear a significant share of the communicative burden of the group report. A reviewer who skims the prose nevertheless examines the diagrams and screenshots, and inconsistent or low-quality figures undermine the credibility of the surrounding claims even when those claims are accurate. Consistent figure treatment - uniform viewport, consistent thematic grouping, consistent border and caption styling - produces a disproportionate return on investment.</w:t>
      </w:r>
    </w:p>
    <w:p>
      <w:r>
        <w:rPr>
          <w:b w:val="0"/>
          <w:i w:val="0"/>
        </w:rPr>
        <w:t>The author additionally observes that working on a project addressing a tangible social purpose - the provision of supervised dental care to patients who would otherwise lack access to it - differs qualitatively from the abstraction of standard coursework. The user is no longer an abstract specification but a person whose interaction with the system has practical consequences. Conversations with practitioners from the Faculty of Dentistry clarifying the operational meaning of clinical concepts (for example, the precise definition of a redo request) made the data-model decisions more concrete than they would otherwise have been.</w:t>
      </w:r>
    </w:p>
    <w:p>
      <w:r>
        <w:br w:type="page"/>
      </w:r>
    </w:p>
    <w:p>
      <w:pPr>
        <w:pStyle w:val="Heading2"/>
      </w:pPr>
      <w:r>
        <w:t>CHAPTER 2: Individual Contributions</w:t>
      </w:r>
    </w:p>
    <w:p>
      <w:r>
        <w:rPr>
          <w:b w:val="0"/>
          <w:i w:val="0"/>
        </w:rPr>
        <w:t>This chapter characterises the author's contribution to DentyHub. Qualitative claims are cross-referenced to the corresponding sections, figures, features, requirements, and test cases of the group report.</w:t>
      </w:r>
    </w:p>
    <w:p>
      <w:pPr>
        <w:pStyle w:val="Heading3"/>
      </w:pPr>
      <w:r>
        <w:t>2.1 Amount of Work</w:t>
      </w:r>
    </w:p>
    <w:p>
      <w:r>
        <w:rPr>
          <w:b w:val="0"/>
          <w:i w:val="0"/>
        </w:rPr>
        <w:t>The author's contribution to DentyHub comprised a deliverable scoped to be defensible at the level of detail required by the project viva. The deliverable - "Use case analysis, system architecture, leaderboard implementation, and documentation figure evidence" - was executed against the project freeze build during the final two weeks of GP2 and is documented in the artefacts contributed to the project repository.</w:t>
      </w:r>
    </w:p>
    <w:p>
      <w:pPr>
        <w:pStyle w:val="Heading3"/>
      </w:pPr>
      <w:r>
        <w:t>2.2 Quality of Work</w:t>
      </w:r>
    </w:p>
    <w:p>
      <w:r>
        <w:rPr>
          <w:b w:val="0"/>
          <w:i w:val="0"/>
        </w:rPr>
        <w:t>The quality standard applied to this deliverable required that each observation produced by the author be reproducible by a different team member from the same starting state, and that each defect or design decision filed be sufficiently precise that the receiving team member could act upon it without further consultation. Concretely, the author recorded the actual behaviour against the expected behaviour for each case considered, and re-validated the failing cases after the corresponding fixes were applied. The discipline of re-validation, while readily omitted under deadline pressure, prevents regression and was treated as non-optional in this deliverable.</w:t>
      </w:r>
    </w:p>
    <w:p>
      <w:pPr>
        <w:pStyle w:val="Heading3"/>
      </w:pPr>
      <w:r>
        <w:t>2.3 Specialized Contributions</w:t>
      </w:r>
    </w:p>
    <w:p>
      <w:r>
        <w:rPr>
          <w:b/>
          <w:i w:val="0"/>
        </w:rPr>
        <w:t>Specialisation: Systems analysis, leaderboard implementation, and documentation evidence.</w:t>
      </w:r>
    </w:p>
    <w:p>
      <w:r>
        <w:rPr>
          <w:b w:val="0"/>
          <w:i w:val="0"/>
        </w:rPr>
        <w:t>The author authored the use case diagram (Figure 3.2 of the group report), which presents all four user roles (patient, student doctor, clinical supervisor, and administrator) within a single system boundary, with role-specific use case packages and a cross-cutting package for use cases performed by all authenticated roles (in-application notifications, peer-to-peer chat, language switching, and profile editing). The author additionally produced the high-level system architecture diagram (Figure 3.1 of the group report), which presents the four-tier structure of the platform - the client tier, the presentation tier (Next.js 16), the application tier (NestJS 11), and the data tier (Prisma 5.22 over PostgreSQL 16) - together with the operations subsystem (environment configuration and background job execution).</w:t>
      </w:r>
    </w:p>
    <w:p>
      <w:r>
        <w:rPr>
          <w:b w:val="0"/>
          <w:i w:val="0"/>
        </w:rPr>
        <w:t>The author implemented the leaderboard surfaces visible to both patients and doctors. The arcade leaderboard comprises a tab control selecting among the six arcade games, a level filter dropdown selecting among Levels 1 through 11, rank rendering with podium emoji decoration for the top three positions and numeric ranks below, and a highlight treatment indicating the calling user's row. The streak leaderboard, accessible via the streak tab of the patient leaderboard switcher, comprises a three-metric switcher (current streak, best-ever streak, and cumulative points) and a hero card displaying the calling user's rank.</w:t>
      </w:r>
    </w:p>
    <w:p>
      <w:r>
        <w:rPr>
          <w:b w:val="0"/>
          <w:i w:val="0"/>
        </w:rPr>
        <w:t>The author captured the thirty-eight screenshots evidencing Chapter 4 of the group report. The screenshots are organised into thematic groups: public and authentication screens (Figures 4.1 through 4.3); patient surfaces (Figures 4.4 through 4.9); doctor surfaces (Figures 4.10 through 4.14); supervisor surfaces (Figures 4.15 through 4.17); administrator surfaces (Figures 4.18 through 4.26); arcade surfaces (Figures 4.27 through 4.34); and Arabic and accessibility surfaces (Figures 4.35 through 4.38). Each screenshot was captured at a consistent viewport, named to correspond to its caption, and inserted into the appropriate placeholder cell within the document without disrupting the surrounding prose.</w:t>
      </w:r>
    </w:p>
    <w:p>
      <w:pPr>
        <w:pStyle w:val="Heading3"/>
      </w:pPr>
      <w:r>
        <w:t>2.4 Initiative and Reliability</w:t>
      </w:r>
    </w:p>
    <w:p>
      <w:r>
        <w:rPr>
          <w:b w:val="0"/>
          <w:i w:val="0"/>
        </w:rPr>
        <w:t>The author proposed the scope of the present deliverable, executed it without requiring detailed guidance from the project lead, and reported completion through the project's standard communication channel on the same day as the freeze pass concluded. The deliverable was completed within the originally committed timeframe.</w:t>
      </w:r>
    </w:p>
    <w:p>
      <w:r>
        <w:rPr>
          <w:b w:val="0"/>
          <w:i w:val="0"/>
        </w:rPr>
        <w:t>Reliability is documented by the sign-off message posted at the conclusion of the freeze pass and by the absence of subsequent rework requirements arising from the deliverable.</w:t>
      </w:r>
    </w:p>
    <w:p>
      <w:r>
        <w:br w:type="page"/>
      </w:r>
    </w:p>
    <w:p>
      <w:pPr>
        <w:pStyle w:val="Heading2"/>
      </w:pPr>
      <w:r>
        <w:t>CHAPTER 3: Conclusion and Results</w:t>
      </w:r>
    </w:p>
    <w:p>
      <w:r>
        <w:rPr>
          <w:b w:val="0"/>
          <w:i w:val="0"/>
        </w:rPr>
        <w:t>The two most visually prominent figures in the group report (Figure 3.1, the system architecture, and Figure 3.2, the use case analysis) were authored by the author, as were the leaderboard surfaces visible to all users and the thirty-eight screenshots evidencing Chapter 4. The use case analysis additionally informed the ordering of the functional-features table in Section 2.1, ensuring that the analytical work contributed to the requirements engineering chapter as well as to the design chapter.</w:t>
      </w:r>
    </w:p>
    <w:p>
      <w:r>
        <w:rPr>
          <w:b w:val="0"/>
          <w:i w:val="0"/>
        </w:rPr>
        <w:t>Considered in the wider context of the project, DentyHub constitutes a four-role platform encompassing the full case lifecycle from patient request to supervisor-approved case report, augmented by a patient engagement layer (streak, badges, six arcade games, and a daily trivia quiz) and complete English and Arabic localisation with right-to-left presentation on every patient-facing screen. The author's deliverable integrates into this wider system as one verifiable thread of contribution; the full system documentation appears in Chapters 1 through 5 and the twelve appendices of the group report.</w:t>
      </w:r>
    </w:p>
    <w:p>
      <w:r>
        <w:rPr>
          <w:b w:val="0"/>
          <w:i w:val="0"/>
        </w:rPr>
        <w:t>The most significant result the author identifies for personal carry-forward is the experience of taking sole responsibility for a defined component of a real system. This experience differs from coursework in that the deliverable will be examined by a panel and may subsequently be used in production. Awareness of this downstream consumption altered the author's working standard during execution and constitutes the principal professional skill developed through participation in the project.</w:t>
      </w:r>
    </w:p>
    <w:p>
      <w:r>
        <w:rPr>
          <w:b w:val="0"/>
          <w:i w:val="0"/>
        </w:rPr>
        <w:t>The author gratefully acknowledges Dr. Zakarea M. Al Shara'a for the project supervision; Omar Mohammed Subhi Al Shamali for the technical leadership of the team and the codebase; and the remaining team members for their respective contributions, which are documented in their individual reflection reports.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