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Jordan University of Science and Technology</w:t>
      </w:r>
    </w:p>
    <w:p>
      <w:pPr>
        <w:jc w:val="center"/>
      </w:pPr>
      <w:r>
        <w:rPr>
          <w:b/>
          <w:sz w:val="26"/>
        </w:rPr>
        <w:t>College of Computer Sciences and Information Technology</w:t>
      </w:r>
    </w:p>
    <w:p>
      <w:pPr>
        <w:jc w:val="center"/>
      </w:pPr>
      <w:r>
        <w:rPr>
          <w:b/>
          <w:sz w:val="26"/>
        </w:rPr>
        <w:t>Department of Software Engineering</w:t>
      </w:r>
    </w:p>
    <w:p/>
    <w:p/>
    <w:p/>
    <w:p>
      <w:pPr>
        <w:jc w:val="center"/>
      </w:pPr>
      <w:r>
        <w:rPr>
          <w:b/>
          <w:sz w:val="52"/>
        </w:rPr>
        <w:t>DentyHub</w:t>
      </w:r>
    </w:p>
    <w:p>
      <w:pPr>
        <w:jc w:val="center"/>
      </w:pPr>
      <w:r>
        <w:rPr>
          <w:i/>
          <w:sz w:val="24"/>
        </w:rPr>
        <w:t>A Supervised Dental Training Platform Connecting Patients, Student Doctors, Clinical Supervisors, and Administrators</w:t>
      </w:r>
    </w:p>
    <w:p/>
    <w:p>
      <w:pPr>
        <w:jc w:val="center"/>
      </w:pPr>
      <w:r>
        <w:rPr>
          <w:b/>
          <w:sz w:val="30"/>
        </w:rPr>
        <w:t>Graduation Project Individual Reflection Report</w:t>
      </w:r>
    </w:p>
    <w:p/>
    <w:p/>
    <w:p>
      <w:pPr>
        <w:jc w:val="center"/>
      </w:pPr>
      <w:r>
        <w:rPr>
          <w:i/>
        </w:rPr>
        <w:t>Prepared by</w:t>
      </w:r>
    </w:p>
    <w:p>
      <w:pPr>
        <w:jc w:val="center"/>
      </w:pPr>
      <w:r>
        <w:rPr>
          <w:sz w:val="26"/>
        </w:rPr>
        <w:t>Omar Mohammed Subhi Al Shamali (Student ID: 154072)</w:t>
      </w:r>
    </w:p>
    <w:p/>
    <w:p>
      <w:pPr>
        <w:jc w:val="center"/>
      </w:pPr>
      <w:r>
        <w:rPr>
          <w:i/>
        </w:rPr>
        <w:t>Supervised by</w:t>
      </w:r>
    </w:p>
    <w:p>
      <w:pPr>
        <w:jc w:val="center"/>
      </w:pPr>
      <w:r>
        <w:rPr>
          <w:sz w:val="24"/>
        </w:rPr>
        <w:t>Dr. Zakarea M. Al Shara'a</w:t>
      </w:r>
    </w:p>
    <w:p/>
    <w:p/>
    <w:p>
      <w:pPr>
        <w:jc w:val="center"/>
      </w:pPr>
      <w:r>
        <w:rPr>
          <w:b/>
        </w:rPr>
        <w:t>May 2026</w:t>
      </w:r>
    </w:p>
    <w:p>
      <w:r>
        <w:br w:type="page"/>
      </w:r>
    </w:p>
    <w:p>
      <w:pPr>
        <w:pStyle w:val="Heading2"/>
      </w:pPr>
      <w:r>
        <w:t>Undertaking</w:t>
      </w:r>
    </w:p>
    <w:p>
      <w:r>
        <w:rPr>
          <w:b w:val="0"/>
          <w:i w:val="0"/>
        </w:rPr>
        <w:t>I hereby declare that the project titled "DentyHub: A Supervised Dental Training Platform" is an original work conducted by the undersigned team in partial fulfillment of the requirements for the Bachelor of Science degree in Software Engineering at the Department of Software Engineering, Jordan University of Science and Technology, Irbid, Jordan.</w:t>
      </w:r>
    </w:p>
    <w:p>
      <w:r>
        <w:rPr>
          <w:b w:val="0"/>
          <w:i w:val="0"/>
        </w:rPr>
        <w:t>The lessons, observations, and individual contributions described in this reflection report represent an honest assessment of the role the undersigned personally fulfilled within the project team. The literature and external software components referenced in this work are cited in the References section of the group report. This individual report has not been submitted, in whole or in part, to any other university or academic institution.</w:t>
      </w:r>
    </w:p>
    <w:p/>
    <w:p/>
    <w:p>
      <w:r>
        <w:rPr>
          <w:b w:val="0"/>
          <w:i w:val="0"/>
        </w:rPr>
        <w:t>Student Name: Omar Mohammed Subhi Al Shamali</w:t>
      </w:r>
    </w:p>
    <w:p/>
    <w:p>
      <w:r>
        <w:rPr>
          <w:b w:val="0"/>
          <w:i w:val="0"/>
        </w:rPr>
        <w:t>Signature: ____________________________</w:t>
      </w:r>
    </w:p>
    <w:p/>
    <w:p>
      <w:r>
        <w:rPr>
          <w:b w:val="0"/>
          <w:i w:val="0"/>
        </w:rPr>
        <w:t>Date: ____ / ____ / 2026</w:t>
      </w:r>
    </w:p>
    <w:p>
      <w:r>
        <w:br w:type="page"/>
      </w:r>
    </w:p>
    <w:p>
      <w:pPr>
        <w:pStyle w:val="Heading2"/>
      </w:pPr>
      <w:r>
        <w:t>Contents</w:t>
      </w:r>
    </w:p>
    <w:p>
      <w:r>
        <w:rPr>
          <w:b w:val="0"/>
          <w:i/>
        </w:rPr>
        <w:t>The reader may regenerate the page-numbered Table of Contents by placing the cursor below this line and selecting References → Table of Contents → Update Field in Microsoft Word. The TOC is produced from the Heading 2 and Heading 3 styles applied throughout this document.</w:t>
      </w:r>
    </w:p>
    <w:p>
      <w:r>
        <w:rPr>
          <w:b w:val="0"/>
          <w:i/>
        </w:rPr>
        <w:t>[ The Table of Contents will be rendered here upon Update Field. ]</w:t>
      </w:r>
    </w:p>
    <w:p>
      <w:r>
        <w:br w:type="page"/>
      </w:r>
    </w:p>
    <w:p>
      <w:pPr>
        <w:pStyle w:val="Heading2"/>
      </w:pPr>
      <w:r>
        <w:t>CHAPTER 1: Lessons Learned</w:t>
      </w:r>
    </w:p>
    <w:p>
      <w:r>
        <w:rPr>
          <w:b w:val="0"/>
          <w:i w:val="0"/>
        </w:rPr>
        <w:t>This chapter documents the lessons derived from serving as project lead on DentyHub over the two academic cycles GP1 and GP2. The reflection is organised into three categories: strategies that proved consistently effective in advancing the project; areas in which the author's approach could be improved; and broader observations gained through the experience of leading a five-person software engineering team toward a deployable system.</w:t>
      </w:r>
    </w:p>
    <w:p>
      <w:pPr>
        <w:pStyle w:val="Heading3"/>
      </w:pPr>
      <w:r>
        <w:t>1.1 Strategies and Processes that led to Success</w:t>
      </w:r>
    </w:p>
    <w:p>
      <w:r>
        <w:rPr>
          <w:b w:val="0"/>
          <w:i w:val="0"/>
        </w:rPr>
        <w:t>The strategies that contributed most to the project's progress were structural rather than feature-level. Three are discussed below, each illustrated by concrete artefacts in the codebase.</w:t>
      </w:r>
    </w:p>
    <w:p>
      <w:r>
        <w:rPr>
          <w:b w:val="0"/>
          <w:i w:val="0"/>
        </w:rPr>
        <w:t>First, the project prioritised data-model design before user-interface design. Approximately two weeks of GP1 were devoted to the Prisma schema before any user-facing screen was constructed. This investment generated returns throughout GP2: the schema, comprising forty-one models and eighteen enumerations (Appendix D of the group report), absorbed every subsequent feature without requiring restructuring. The Appointment, CaseReport, and DoctorClinicCaseProgress relations - the central data triangle that encodes graduation credit - were specified during GP1 and remained unchanged through GP2 despite the addition of multi-supervisor reporting, the six-game arcade engine, and the cohort-progression workflow.</w:t>
      </w:r>
    </w:p>
    <w:p>
      <w:r>
        <w:rPr>
          <w:b w:val="0"/>
          <w:i w:val="0"/>
        </w:rPr>
        <w:t>Second, the team adopted explicit written process rules in preference to informal agreements. A single-author rule for Prisma migrations was introduced following a parallel-migration merge conflict during GP1 and was documented in the project README. A translation-key audit checklist was added to the pull-request template following an Arabic localisation oversight and has subsequently identified seven additional missing keys. These rules are summarised in Appendix K (Lessons Learned) of the group report. The pattern observed is that small, written process rules are more reliable than larger unwritten agreements among team members operating under deadline pressure.</w:t>
      </w:r>
    </w:p>
    <w:p>
      <w:r>
        <w:rPr>
          <w:b w:val="0"/>
          <w:i w:val="0"/>
        </w:rPr>
        <w:t>Third, the engagement layer was constructed using an architectural pattern that enforced modular boundaries between games. Each arcade game is contained within a full-viewport focus stage and communicates with the surrounding application only through a portal-mounted HUD slot and a small props contract (level, onFinish, onCancel, hudSlot). The six implemented games (Plaque Blaster, Tooth Defender 3D, Floss Rush, Tooth IQ, Match Lab, and Brush Buddy) share no internal dependencies, and the addition of a seventh game would require modifications to a single file. This modular boundary, while not visible to the end user, materially reduces future maintenance cost.</w:t>
      </w:r>
    </w:p>
    <w:p>
      <w:r>
        <w:rPr>
          <w:b w:val="0"/>
          <w:i w:val="0"/>
        </w:rPr>
        <w:t>A fourth strategy worth recording is the enforcement of engagement-level rules at the data layer rather than at the application layer. The once-per-day attempt rule on the arcade is enforced via a UNIQUE constraint on (patientId, gameType, dateKey) in the ArcadeAttempt model; the daily smile check-in is enforced by an analogous constraint on SmileCheckin. A tampered client cannot bypass either rule because the violation is rejected by PostgreSQL at insertion. This pattern of encoding engagement rules in the schema rather than in the controller layer is a contribution the author intends to apply to future projects.</w:t>
      </w:r>
    </w:p>
    <w:p>
      <w:pPr>
        <w:pStyle w:val="Heading3"/>
      </w:pPr>
      <w:r>
        <w:t>1.2 Areas of potential improvement</w:t>
      </w:r>
    </w:p>
    <w:p>
      <w:r>
        <w:rPr>
          <w:b w:val="0"/>
          <w:i w:val="0"/>
        </w:rPr>
        <w:t>Three areas of improvement merit explicit acknowledgement.</w:t>
      </w:r>
    </w:p>
    <w:p>
      <w:r>
        <w:rPr>
          <w:b w:val="0"/>
          <w:i w:val="0"/>
        </w:rPr>
        <w:t>The first concerns scope management. The patient engagement layer - the streak feature, the badge system, and the six arcade games - was not present in the GP1 project plan. These features emerged from a brainstorming session during GP2 (documented in Section 4.1 of the group report under milestone M8) and ultimately consumed approximately four weeks of calendar time, more than originally budgeted for any single GP2 deliverable. In a future project, the author would attempt to identify engagement features earlier in the planning phase and interleave them with the core workflow rather than introduce them mid-cycle.</w:t>
      </w:r>
    </w:p>
    <w:p>
      <w:r>
        <w:rPr>
          <w:b w:val="0"/>
          <w:i w:val="0"/>
        </w:rPr>
        <w:t>The second area concerns automated testing. The project relied on a manual scenario-test pass before each release, documented in Section 5.2 of the group report. While this approach identified the majority of defects, two regressions during week 19 of GP2 were discovered only through manual exploration and would have been detected by an automated end-to-end test covering the booking-report-decision pathway. The author underestimated the maintenance cost of an automated end-to-end suite at this scale; future projects would benefit from the introduction of a single end-to-end test during week one and gradual expansion thereafter.</w:t>
      </w:r>
    </w:p>
    <w:p>
      <w:r>
        <w:rPr>
          <w:b w:val="0"/>
          <w:i w:val="0"/>
        </w:rPr>
        <w:t>The third area concerns task estimation. Tasks involving technologies the author had not previously deployed - shader-aware React via three.js for Tooth Defender 3D, the right-to-left internationalisation sweep, and a PostgreSQL JSON-containment query for the multi-supervisor flow - consistently required two to three times the originally estimated effort. The corrective heuristic the author intends to apply in future is to multiply initial estimates by a factor of three when the task involves a library or pattern not previously deployed. Repeated underestimation of unfamiliar work produced unnecessary schedule pressure during the final weeks of GP2.</w:t>
      </w:r>
    </w:p>
    <w:p>
      <w:pPr>
        <w:pStyle w:val="Heading3"/>
      </w:pPr>
      <w:r>
        <w:t>1.3 Other lessons learned</w:t>
      </w:r>
    </w:p>
    <w:p>
      <w:r>
        <w:rPr>
          <w:b w:val="0"/>
          <w:i w:val="0"/>
        </w:rPr>
        <w:t>Two broader lessons should be recorded.</w:t>
      </w:r>
    </w:p>
    <w:p>
      <w:r>
        <w:rPr>
          <w:b w:val="0"/>
          <w:i w:val="0"/>
        </w:rPr>
        <w:t>The first concerns scope discipline. Several feature ideas considered during the project - patient payment integration, SMS reminder delivery, in-clinic queue display - were technically interesting but did not advance the project's stated value proposition (Section 1.3 of the group report). Excluding such features from scope proved more difficult than implementing them would have been. The explicit out-of-scope list in Section 1.3 of the group report represents the outcome of this exercise. The lesson learned is that the decision to exclude a feature requires the same justification as the decision to include one.</w:t>
      </w:r>
    </w:p>
    <w:p>
      <w:r>
        <w:rPr>
          <w:b w:val="0"/>
          <w:i w:val="0"/>
        </w:rPr>
        <w:t>The second concerns operational detail. Several engineering decisions - the use of an Asia/Amman date-key for daily uniqueness rather than UTC, the application of Prisma transactions to multi-write operations, the placement of AdminGuard at the controller layer rather than at the route table - have no visible effect when implemented correctly. However, the same decisions, implemented incorrectly, would produce visible product failures: streaks resetting incorrectly across midnight, partial writes leaving the database in inconsistent states, and elevated endpoints leaking data through newly added routes. The lesson is that the quality of an operational decision is best measured not by its visibility but by the visibility of its absence.</w:t>
      </w:r>
    </w:p>
    <w:p>
      <w:r>
        <w:rPr>
          <w:b w:val="0"/>
          <w:i w:val="0"/>
        </w:rPr>
        <w:t>Finally, the experience of leading a multi-person team produced a non-technical lesson regarding the structuring of work. The most effective approach proved to be the construction of vertical slices - well-scoped, individually ownable units of work with clear boundaries - rather than horizontal layers requiring coordination across the team. The author acknowledges that this principle was not applied as consistently as warranted; in retrospect, several tasks absorbed during GP2 could have been delegated had the slicing been performed earlier.</w:t>
      </w:r>
    </w:p>
    <w:p>
      <w:r>
        <w:br w:type="page"/>
      </w:r>
    </w:p>
    <w:p>
      <w:pPr>
        <w:pStyle w:val="Heading2"/>
      </w:pPr>
      <w:r>
        <w:t>CHAPTER 2: Individual Contributions</w:t>
      </w:r>
    </w:p>
    <w:p>
      <w:r>
        <w:rPr>
          <w:b w:val="0"/>
          <w:i w:val="0"/>
        </w:rPr>
        <w:t>This chapter quantifies and characterises the author's contribution to the DentyHub project. Quantitative figures are verifiable against the project repository at github.com/12shamali12/GP1 via git log analysis. Qualitative claims are cross-referenced to the corresponding sections, figures, features, requirements, and test cases of the group report.</w:t>
      </w:r>
    </w:p>
    <w:p>
      <w:pPr>
        <w:pStyle w:val="Heading3"/>
      </w:pPr>
      <w:r>
        <w:t>2.1 Amount of Work</w:t>
      </w:r>
    </w:p>
    <w:p>
      <w:r>
        <w:rPr>
          <w:b w:val="0"/>
          <w:i w:val="0"/>
        </w:rPr>
        <w:t>As project lead, the author authored the largest single share of the codebase across both academic cycles. The following table summarises authored output by functional surface.</w:t>
      </w:r>
    </w:p>
    <w:tbl>
      <w:tblPr>
        <w:tblStyle w:val="TableGrid"/>
        <w:tblW w:type="auto" w:w="0"/>
        <w:jc w:val="center"/>
        <w:tblLook w:firstColumn="1" w:firstRow="1" w:lastColumn="0" w:lastRow="0" w:noHBand="0" w:noVBand="1" w:val="04A0"/>
      </w:tblPr>
      <w:tblGrid>
        <w:gridCol w:w="3097"/>
        <w:gridCol w:w="3097"/>
        <w:gridCol w:w="3097"/>
      </w:tblGrid>
      <w:tr>
        <w:tc>
          <w:tcPr>
            <w:tcW w:type="dxa" w:w="3288"/>
            <w:vAlign w:val="center"/>
            <w:shd w:val="clear" w:color="auto" w:fill="E7EEF2"/>
          </w:tcPr>
          <w:p>
            <w:r/>
            <w:r>
              <w:rPr>
                <w:b/>
                <w:sz w:val="21"/>
              </w:rPr>
              <w:t>Functional Surface</w:t>
            </w:r>
          </w:p>
        </w:tc>
        <w:tc>
          <w:tcPr>
            <w:tcW w:type="dxa" w:w="2494"/>
            <w:vAlign w:val="center"/>
            <w:shd w:val="clear" w:color="auto" w:fill="E7EEF2"/>
          </w:tcPr>
          <w:p>
            <w:r/>
            <w:r>
              <w:rPr>
                <w:b/>
                <w:sz w:val="21"/>
              </w:rPr>
              <w:t>Approximate Authored LOC</w:t>
            </w:r>
          </w:p>
        </w:tc>
        <w:tc>
          <w:tcPr>
            <w:tcW w:type="dxa" w:w="3175"/>
            <w:vAlign w:val="center"/>
            <w:shd w:val="clear" w:color="auto" w:fill="E7EEF2"/>
          </w:tcPr>
          <w:p>
            <w:r/>
            <w:r>
              <w:rPr>
                <w:b/>
                <w:sz w:val="21"/>
              </w:rPr>
              <w:t>Primary Files</w:t>
            </w:r>
          </w:p>
        </w:tc>
      </w:tr>
      <w:tr>
        <w:tc>
          <w:tcPr>
            <w:tcW w:type="dxa" w:w="3288"/>
            <w:vAlign w:val="center"/>
          </w:tcPr>
          <w:p>
            <w:r/>
            <w:r>
              <w:rPr>
                <w:sz w:val="21"/>
              </w:rPr>
              <w:t>Project leadership and repository governance</w:t>
            </w:r>
          </w:p>
        </w:tc>
        <w:tc>
          <w:tcPr>
            <w:tcW w:type="dxa" w:w="2494"/>
            <w:vAlign w:val="center"/>
          </w:tcPr>
          <w:p>
            <w:r/>
            <w:r>
              <w:rPr>
                <w:sz w:val="21"/>
              </w:rPr>
              <w:t>—</w:t>
            </w:r>
          </w:p>
        </w:tc>
        <w:tc>
          <w:tcPr>
            <w:tcW w:type="dxa" w:w="3175"/>
            <w:vAlign w:val="center"/>
          </w:tcPr>
          <w:p>
            <w:r/>
            <w:r>
              <w:rPr>
                <w:sz w:val="21"/>
              </w:rPr>
              <w:t>Code review on every pull request; README; branch policy</w:t>
            </w:r>
          </w:p>
        </w:tc>
      </w:tr>
      <w:tr>
        <w:tc>
          <w:tcPr>
            <w:tcW w:type="dxa" w:w="3288"/>
            <w:vAlign w:val="center"/>
          </w:tcPr>
          <w:p>
            <w:r/>
            <w:r>
              <w:rPr>
                <w:sz w:val="21"/>
              </w:rPr>
              <w:t>Prisma schema architecture</w:t>
            </w:r>
          </w:p>
        </w:tc>
        <w:tc>
          <w:tcPr>
            <w:tcW w:type="dxa" w:w="2494"/>
            <w:vAlign w:val="center"/>
          </w:tcPr>
          <w:p>
            <w:r/>
            <w:r>
              <w:rPr>
                <w:sz w:val="21"/>
              </w:rPr>
              <w:t>approx. 1,400</w:t>
            </w:r>
          </w:p>
        </w:tc>
        <w:tc>
          <w:tcPr>
            <w:tcW w:type="dxa" w:w="3175"/>
            <w:vAlign w:val="center"/>
          </w:tcPr>
          <w:p>
            <w:r/>
            <w:r>
              <w:rPr>
                <w:sz w:val="21"/>
              </w:rPr>
              <w:t>schema.prisma (41 models, 18 enums); 12 append-only migrations</w:t>
            </w:r>
          </w:p>
        </w:tc>
      </w:tr>
      <w:tr>
        <w:tc>
          <w:tcPr>
            <w:tcW w:type="dxa" w:w="3288"/>
            <w:vAlign w:val="center"/>
          </w:tcPr>
          <w:p>
            <w:r/>
            <w:r>
              <w:rPr>
                <w:sz w:val="21"/>
              </w:rPr>
              <w:t>Backend service architecture (appointments, supervisor decisions, multi-supervisor reporting, chat, notifications, smile streak, arcade)</w:t>
            </w:r>
          </w:p>
        </w:tc>
        <w:tc>
          <w:tcPr>
            <w:tcW w:type="dxa" w:w="2494"/>
            <w:vAlign w:val="center"/>
          </w:tcPr>
          <w:p>
            <w:r/>
            <w:r>
              <w:rPr>
                <w:sz w:val="21"/>
              </w:rPr>
              <w:t>approx. 5,200</w:t>
            </w:r>
          </w:p>
        </w:tc>
        <w:tc>
          <w:tcPr>
            <w:tcW w:type="dxa" w:w="3175"/>
            <w:vAlign w:val="center"/>
          </w:tcPr>
          <w:p>
            <w:r/>
            <w:r>
              <w:rPr>
                <w:sz w:val="21"/>
              </w:rPr>
              <w:t>approx. 50 controllers, services, DTOs, and guards</w:t>
            </w:r>
          </w:p>
        </w:tc>
      </w:tr>
      <w:tr>
        <w:tc>
          <w:tcPr>
            <w:tcW w:type="dxa" w:w="3288"/>
            <w:vAlign w:val="center"/>
          </w:tcPr>
          <w:p>
            <w:r/>
            <w:r>
              <w:rPr>
                <w:sz w:val="21"/>
              </w:rPr>
              <w:t>Arcade engine and six game components</w:t>
            </w:r>
          </w:p>
        </w:tc>
        <w:tc>
          <w:tcPr>
            <w:tcW w:type="dxa" w:w="2494"/>
            <w:vAlign w:val="center"/>
          </w:tcPr>
          <w:p>
            <w:r/>
            <w:r>
              <w:rPr>
                <w:sz w:val="21"/>
              </w:rPr>
              <w:t>approx. 3,400</w:t>
            </w:r>
          </w:p>
        </w:tc>
        <w:tc>
          <w:tcPr>
            <w:tcW w:type="dxa" w:w="3175"/>
            <w:vAlign w:val="center"/>
          </w:tcPr>
          <w:p>
            <w:r/>
            <w:r>
              <w:rPr>
                <w:sz w:val="21"/>
              </w:rPr>
              <w:t>6 game files; hub; intro card; focus stage; threshold logic</w:t>
            </w:r>
          </w:p>
        </w:tc>
      </w:tr>
      <w:tr>
        <w:tc>
          <w:tcPr>
            <w:tcW w:type="dxa" w:w="3288"/>
            <w:vAlign w:val="center"/>
          </w:tcPr>
          <w:p>
            <w:r/>
            <w:r>
              <w:rPr>
                <w:sz w:val="21"/>
              </w:rPr>
              <w:t>Healthy Smile Streak (backend and frontend)</w:t>
            </w:r>
          </w:p>
        </w:tc>
        <w:tc>
          <w:tcPr>
            <w:tcW w:type="dxa" w:w="2494"/>
            <w:vAlign w:val="center"/>
          </w:tcPr>
          <w:p>
            <w:r/>
            <w:r>
              <w:rPr>
                <w:sz w:val="21"/>
              </w:rPr>
              <w:t>approx. 1,400</w:t>
            </w:r>
          </w:p>
        </w:tc>
        <w:tc>
          <w:tcPr>
            <w:tcW w:type="dxa" w:w="3175"/>
            <w:vAlign w:val="center"/>
          </w:tcPr>
          <w:p>
            <w:r/>
            <w:r>
              <w:rPr>
                <w:sz w:val="21"/>
              </w:rPr>
              <w:t>smile-streak module; surface; badges; widget; streak leaderboard</w:t>
            </w:r>
          </w:p>
        </w:tc>
      </w:tr>
      <w:tr>
        <w:tc>
          <w:tcPr>
            <w:tcW w:type="dxa" w:w="3288"/>
            <w:vAlign w:val="center"/>
          </w:tcPr>
          <w:p>
            <w:r/>
            <w:r>
              <w:rPr>
                <w:sz w:val="21"/>
              </w:rPr>
              <w:t>Internationalisation dictionary (EN and AR with full RTL)</w:t>
            </w:r>
          </w:p>
        </w:tc>
        <w:tc>
          <w:tcPr>
            <w:tcW w:type="dxa" w:w="2494"/>
            <w:vAlign w:val="center"/>
          </w:tcPr>
          <w:p>
            <w:r/>
            <w:r>
              <w:rPr>
                <w:sz w:val="21"/>
              </w:rPr>
              <w:t>approx. 3,000 keys</w:t>
            </w:r>
          </w:p>
        </w:tc>
        <w:tc>
          <w:tcPr>
            <w:tcW w:type="dxa" w:w="3175"/>
            <w:vAlign w:val="center"/>
          </w:tcPr>
          <w:p>
            <w:r/>
            <w:r>
              <w:rPr>
                <w:sz w:val="21"/>
              </w:rPr>
              <w:t>dictionary.ts; language-provider; RTL coverage across patient screens</w:t>
            </w:r>
          </w:p>
        </w:tc>
      </w:tr>
      <w:tr>
        <w:tc>
          <w:tcPr>
            <w:tcW w:type="dxa" w:w="3288"/>
            <w:vAlign w:val="center"/>
          </w:tcPr>
          <w:p>
            <w:r/>
            <w:r>
              <w:rPr>
                <w:sz w:val="21"/>
              </w:rPr>
              <w:t>Patient booking flow and appointment lifecycle interface</w:t>
            </w:r>
          </w:p>
        </w:tc>
        <w:tc>
          <w:tcPr>
            <w:tcW w:type="dxa" w:w="2494"/>
            <w:vAlign w:val="center"/>
          </w:tcPr>
          <w:p>
            <w:r/>
            <w:r>
              <w:rPr>
                <w:sz w:val="21"/>
              </w:rPr>
              <w:t>approx. 1,800</w:t>
            </w:r>
          </w:p>
        </w:tc>
        <w:tc>
          <w:tcPr>
            <w:tcW w:type="dxa" w:w="3175"/>
            <w:vAlign w:val="center"/>
          </w:tcPr>
          <w:p>
            <w:r/>
            <w:r>
              <w:rPr>
                <w:sz w:val="21"/>
              </w:rPr>
              <w:t>patient-slot-modal; booking-actions; status pills; history view</w:t>
            </w:r>
          </w:p>
        </w:tc>
      </w:tr>
      <w:tr>
        <w:tc>
          <w:tcPr>
            <w:tcW w:type="dxa" w:w="3288"/>
            <w:vAlign w:val="center"/>
          </w:tcPr>
          <w:p>
            <w:r/>
            <w:r>
              <w:rPr>
                <w:sz w:val="21"/>
              </w:rPr>
              <w:t>UX/UI design system (dark theme, responsive design, reduced motion)</w:t>
            </w:r>
          </w:p>
        </w:tc>
        <w:tc>
          <w:tcPr>
            <w:tcW w:type="dxa" w:w="2494"/>
            <w:vAlign w:val="center"/>
          </w:tcPr>
          <w:p>
            <w:r/>
            <w:r>
              <w:rPr>
                <w:sz w:val="21"/>
              </w:rPr>
              <w:t>approx. 2,000</w:t>
            </w:r>
          </w:p>
        </w:tc>
        <w:tc>
          <w:tcPr>
            <w:tcW w:type="dxa" w:w="3175"/>
            <w:vAlign w:val="center"/>
          </w:tcPr>
          <w:p>
            <w:r/>
            <w:r>
              <w:rPr>
                <w:sz w:val="21"/>
              </w:rPr>
              <w:t>globals.css; design tokens; role shells; settings panel</w:t>
            </w:r>
          </w:p>
        </w:tc>
      </w:tr>
      <w:tr>
        <w:tc>
          <w:tcPr>
            <w:tcW w:type="dxa" w:w="3288"/>
            <w:vAlign w:val="center"/>
          </w:tcPr>
          <w:p>
            <w:r/>
            <w:r>
              <w:rPr>
                <w:sz w:val="21"/>
              </w:rPr>
              <w:t>Administrator planning and supervisor decision interfaces</w:t>
            </w:r>
          </w:p>
        </w:tc>
        <w:tc>
          <w:tcPr>
            <w:tcW w:type="dxa" w:w="2494"/>
            <w:vAlign w:val="center"/>
          </w:tcPr>
          <w:p>
            <w:r/>
            <w:r>
              <w:rPr>
                <w:sz w:val="21"/>
              </w:rPr>
              <w:t>approx. 2,400</w:t>
            </w:r>
          </w:p>
        </w:tc>
        <w:tc>
          <w:tcPr>
            <w:tcW w:type="dxa" w:w="3175"/>
            <w:vAlign w:val="center"/>
          </w:tcPr>
          <w:p>
            <w:r/>
            <w:r>
              <w:rPr>
                <w:sz w:val="21"/>
              </w:rPr>
              <w:t>Four-tab planning workspace; supervisor queue and decision panel</w:t>
            </w:r>
          </w:p>
        </w:tc>
      </w:tr>
      <w:tr>
        <w:tc>
          <w:tcPr>
            <w:tcW w:type="dxa" w:w="3288"/>
            <w:vAlign w:val="center"/>
          </w:tcPr>
          <w:p>
            <w:r/>
            <w:r>
              <w:rPr>
                <w:sz w:val="21"/>
              </w:rPr>
              <w:t>Group report, individual reports, UML and architecture diagrams</w:t>
            </w:r>
          </w:p>
        </w:tc>
        <w:tc>
          <w:tcPr>
            <w:tcW w:type="dxa" w:w="2494"/>
            <w:vAlign w:val="center"/>
          </w:tcPr>
          <w:p>
            <w:r/>
            <w:r>
              <w:rPr>
                <w:sz w:val="21"/>
              </w:rPr>
              <w:t>8 .docx files; 7 figures</w:t>
            </w:r>
          </w:p>
        </w:tc>
        <w:tc>
          <w:tcPr>
            <w:tcW w:type="dxa" w:w="3175"/>
            <w:vAlign w:val="center"/>
          </w:tcPr>
          <w:p>
            <w:r/>
            <w:r>
              <w:rPr>
                <w:sz w:val="21"/>
              </w:rPr>
              <w:t>report_generator.py; individual_report_generator.py; Mermaid and PlantUML sources</w:t>
            </w:r>
          </w:p>
        </w:tc>
      </w:tr>
    </w:tbl>
    <w:p/>
    <w:p>
      <w:r>
        <w:rPr>
          <w:b w:val="0"/>
          <w:i w:val="0"/>
        </w:rPr>
        <w:t>Quantitative metrics alone do not fully characterise the contribution. The commits also encompass code review on every team-member pull request, architectural decisions that established the boundaries within which other team members operated, and substantial unscheduled effort responding to environment-setup issues encountered by team members. The figures reported in the table constitute a lower bound on total effort rather than an upper bound.</w:t>
      </w:r>
    </w:p>
    <w:p>
      <w:pPr>
        <w:pStyle w:val="Heading3"/>
      </w:pPr>
      <w:r>
        <w:t>2.2 Quality of Work</w:t>
      </w:r>
    </w:p>
    <w:p>
      <w:r>
        <w:rPr>
          <w:b w:val="0"/>
          <w:i w:val="0"/>
        </w:rPr>
        <w:t>The author defines code quality on this project according to three measurable properties: type-correctness, testability, and explanatory clarity. Each is discussed below with reference to the corresponding evidence in the group report.</w:t>
      </w:r>
    </w:p>
    <w:p>
      <w:r>
        <w:rPr>
          <w:b w:val="0"/>
          <w:i w:val="0"/>
        </w:rPr>
        <w:t>Type-correctness. Every pull request authored passed TypeScript strict-mode compilation and ESLint validation with zero errors prior to merge. The continuous-integration pipeline (NFR-36 and NFR-37 of the group report) enforces these requirements at the repository level. As project lead, the author applied a consistent policy that pull-request authors must resolve their own lint and compilation errors rather than merge with workarounds; this policy contributed measurably to the overall consistency of the codebase.</w:t>
      </w:r>
    </w:p>
    <w:p>
      <w:r>
        <w:rPr>
          <w:b w:val="0"/>
          <w:i w:val="0"/>
        </w:rPr>
        <w:t>Testability. The non-obvious algorithmic components of the system - the Asia/Amman date-key arithmetic, the arcade unlock computation (computeUnlockedLevel in backend/src/arcade/arcade.service.ts), and the booking conflict-detection logic - are accompanied by unit tests. The thirty scenario tests documented in Section 5.2 of the group report constitute the end-to-end validation suite executed prior to each release. Performance metrics reported in Section 5.3 (login p95 below 250 ms; dashboard first contentful paint below 1500 ms on a 4G connection) confirm that NFR-2 and NFR-7 are satisfied against the seeded build.</w:t>
      </w:r>
    </w:p>
    <w:p>
      <w:r>
        <w:rPr>
          <w:b w:val="0"/>
          <w:i w:val="0"/>
        </w:rPr>
        <w:t>Explanatory clarity. Each backend module file contains a header docstring describing its responsibility. Non-obvious schema decisions (the denormalised DoctorClinicCaseProgress table, the AppointmentEvent audit-trail model, the UNIQUE constraints encoding daily-attempt rules) are documented with inline comments specifying the design rationale. The UML diagrams in Section 3.2 of the group report were generated from the implemented schema rather than from aspirational designs. The intended outcome is that an external reviewer may open any file in the repository and reconstruct the design rationale without requiring author consultation.</w:t>
      </w:r>
    </w:p>
    <w:p>
      <w:pPr>
        <w:pStyle w:val="Heading3"/>
      </w:pPr>
      <w:r>
        <w:t>2.3 Specialized Contributions</w:t>
      </w:r>
    </w:p>
    <w:p>
      <w:r>
        <w:rPr>
          <w:b/>
          <w:i w:val="0"/>
        </w:rPr>
        <w:t>Project leadership and architectural direction.</w:t>
      </w:r>
    </w:p>
    <w:p>
      <w:r>
        <w:rPr>
          <w:b w:val="0"/>
          <w:i w:val="0"/>
        </w:rPr>
        <w:t>The author established the technical direction of the project throughout both academic cycles. Specific decisions for which the author held primary responsibility include: the pnpm workspace monorepo layout; the module-per-domain convention on the backend; the feature-folder convention on the frontend; the controller-layer placement of authorisation guards (NFR-6) to prevent silent data leakage through newly added routes; the enforcement of engagement rules via database constraints rather than client-side checks; and the append-only migration policy with a single-author rule (Appendix G of the group report). The cumulative effect of these decisions is visible in the fact that every non-functional requirement in Section 2.2 is enforced either through continuous integration or through code review.</w:t>
      </w:r>
    </w:p>
    <w:p>
      <w:r>
        <w:rPr>
          <w:b/>
          <w:i w:val="0"/>
        </w:rPr>
        <w:t>Data model design.</w:t>
      </w:r>
    </w:p>
    <w:p>
      <w:r>
        <w:rPr>
          <w:b w:val="0"/>
          <w:i w:val="0"/>
        </w:rPr>
        <w:t>The author designed the system schema comprising forty-one models and eighteen enumerations. The central design - the Appointment, CaseReport, and DoctorClinicCaseProgress relation triangle - ensures that graduation credit is awarded atomically: the supervisor approval transition updates both the report status and the doctor's progress record within a single Prisma transaction. This atomicity guarantee, encoded in the schema and enforced by NFR-11, constitutes the architectural property that distinguishes DentyHub from a generic appointment management system. The schema additionally encodes the daily-attempt uniqueness constraints, the partner-pair and group-supervisor relationships used by the rotation planning subsystem, and the AppointmentEvent audit trail (feature F32).</w:t>
      </w:r>
    </w:p>
    <w:p>
      <w:r>
        <w:rPr>
          <w:b/>
          <w:i w:val="0"/>
        </w:rPr>
        <w:t>Multi-supervisor reporting workflow.</w:t>
      </w:r>
    </w:p>
    <w:p>
      <w:r>
        <w:rPr>
          <w:b w:val="0"/>
          <w:i w:val="0"/>
        </w:rPr>
        <w:t>The author designed and implemented the multi-supervisor report submission workflow that permits a student doctor to address a single case report to one or more clinical supervisors. The primary supervisor is recorded in the reviewerSupervisorId column of CaseReport; additional supervisors are persisted as a JSON array in the formData column and surfaced into each supervisor's queue via a PostgreSQL JSON-containment query (the array_contains operator). Any of the addressed supervisors is authorised to review the report. Notification fan-out on submission and on decision ensures that all addressed supervisors remain synchronised regarding the report state. The decision to store the additional reviewer set as a JSON array rather than introduce a relational join table was made on the basis of three considerations: implementation speed during the freeze week, the absence of any required schema migration, and the small expected cohort size per report.</w:t>
      </w:r>
    </w:p>
    <w:p>
      <w:r>
        <w:rPr>
          <w:b/>
          <w:i w:val="0"/>
        </w:rPr>
        <w:t>Arcade engine and game implementations.</w:t>
      </w:r>
    </w:p>
    <w:p>
      <w:r>
        <w:rPr>
          <w:b w:val="0"/>
          <w:i w:val="0"/>
        </w:rPr>
        <w:t>The author designed the arcade engine architecture and implemented all six included games. The engine architecture comprises the focus-mode stage, the per-game props contract ({ level, onFinish, onCancel, hudSlot }), the per-level threshold curves, the sticky sequential unlock algorithm, and the server-side enforcement of the once-per-day attempt rule. The implemented games include: Plaque Blaster (a thirty-second target-tap grid with an endless Level 11 mode); Tooth Defender 3D (a three.js scene comprising a tooth model, a camera, and a projectile loop, representing the author's first shader-aware React implementation); Floss Rush (a three-lane endless runner); Tooth IQ (a deck-based multiple-choice quiz with one hundred unique questions distributed across ten levels); Match Lab (a memory matching game with per-level preview windows); and Brush Buddy (a Simon-style brushing pattern recognition game). The shared engine contract permits the addition of a seventh game through the modification of a single file.</w:t>
      </w:r>
    </w:p>
    <w:p>
      <w:r>
        <w:rPr>
          <w:b/>
          <w:i w:val="0"/>
        </w:rPr>
        <w:t>Internationalisation and right-to-left support.</w:t>
      </w:r>
    </w:p>
    <w:p>
      <w:r>
        <w:rPr>
          <w:b w:val="0"/>
          <w:i w:val="0"/>
        </w:rPr>
        <w:t>The author implemented the project's internationalisation infrastructure as a custom language provider rather than as an integration with an external library. The decision was made on the basis that the system's requirements - string lookup with parameter interpolation - are sufficiently narrow to be served by a custom implementation that exposes only the useTranslation hook. The translation dictionary grew from approximately seven hundred keys at the start of GP2 to approximately one thousand one hundred keys at submission, distributed across English and Arabic. The right-to-left presentation pass covered every patient-facing screen, satisfying NFR-18 (no LTR leakage). The pre-pull-request translation-key audit checklist, introduced following an Arabic localisation oversight, has subsequently identified seven additional missing keys.</w:t>
      </w:r>
    </w:p>
    <w:p>
      <w:r>
        <w:rPr>
          <w:b/>
          <w:i w:val="0"/>
        </w:rPr>
        <w:t>Group report and UML documentation.</w:t>
      </w:r>
    </w:p>
    <w:p>
      <w:r>
        <w:rPr>
          <w:b w:val="0"/>
          <w:i w:val="0"/>
        </w:rPr>
        <w:t>The author authored the group project report through a Python generator (report_generator.py) that produces DentyHub_GP2_Group_Report.docx containing five chapters, the requirements table mapping seventy-eight functional and thirty-four non-functional requirements to the thirty-two features in Section 2.1, the References section, and twelve appendices. The author additionally produced the majority of the UML figures in Chapter 3 of the group report: the class diagram (Figure 3.3) generated from the Prisma schema; the sequence diagrams for patient booking and supervisor decision (Figures 3.4 and 3.5); the appointment state machine (Figure 3.6); and the streak check-in activity diagram (Figure 3.7). The author also implemented the individual-report generator that produced the present report and its four companion reports.</w:t>
      </w:r>
    </w:p>
    <w:p>
      <w:r>
        <w:rPr>
          <w:b/>
          <w:i w:val="0"/>
        </w:rPr>
        <w:t>Patient booking flow and atomic conflict detection.</w:t>
      </w:r>
    </w:p>
    <w:p>
      <w:r>
        <w:rPr>
          <w:b w:val="0"/>
          <w:i w:val="0"/>
        </w:rPr>
        <w:t>The author implemented the patient booking workflow end-to-end. The frontend components include the slot browser with date, clinic, and case-category filters; the patient-slot-modal for slot selection; the booking confirmation dialog; the appointment history panel with the AWAITING_REPORT status pill (feature F9); and the colour-coded status indicators on patient appointment cards. The backend conflict-detection logic executes within a Prisma transaction: a SELECT FOR UPDATE on the slot row, followed by INSERT operations for the Appointment, the corresponding AppointmentEvent, and the supervisor notification. The row-level lock ensures that concurrent booking submissions are serialised, satisfying NFR-10 by construction. TC-08 of Section 5.2 of the group report verifies this end-to-end.</w:t>
      </w:r>
    </w:p>
    <w:p>
      <w:r>
        <w:rPr>
          <w:b/>
          <w:i w:val="0"/>
        </w:rPr>
        <w:t>User experience and accessibility infrastructure.</w:t>
      </w:r>
    </w:p>
    <w:p>
      <w:r>
        <w:rPr>
          <w:b w:val="0"/>
          <w:i w:val="0"/>
        </w:rPr>
        <w:t>The author designed the project's visual identity, comprising the denty-prefixed CSS class system, the design tokens, the light and dark theme implementation via the html.dark class strategy in globals.css, and the role-shell layouts shared across all four user roles. The mobile-first responsive design ensures that every patient-facing screen renders at a 360-pixel viewport without horizontal scrolling (NFR-32). The author additionally implemented the reduced-motion preference toggle in the settings panel (use-settings-prefs.ts), which permits users with vestibular sensitivities to disable arcade animations and the streak widget's flame animation, in compliance with WCAG 2.1 Success Criterion 2.3.3 (Animation from Interactions). The @media (prefers-reduced-motion: reduce) declarations in globals.css additionally honour operating-system-level motion preferences.</w:t>
      </w:r>
    </w:p>
    <w:p>
      <w:r>
        <w:rPr>
          <w:b/>
          <w:i w:val="0"/>
        </w:rPr>
        <w:t>Healthy Smile Streak engine.</w:t>
      </w:r>
    </w:p>
    <w:p>
      <w:r>
        <w:rPr>
          <w:b w:val="0"/>
          <w:i w:val="0"/>
        </w:rPr>
        <w:t>The author implemented the Healthy Smile Streak feature end-to-end. The backend module (backend/src/smile-streak) comprises the SmileCheckin model with its UNIQUE constraint on (patientId, dateKey-in-Asia/Amman); the streak computation that compares the prior day's date-key to the current day's to determine consecutive-day increments; and the automatic badge-award logic at milestones of 3, 7, 30, and 100 consecutive days. The frontend components include the daily ritual interface presenting brushing, flossing, and mouthwash tasks within a thirty-second window; the badge wall; the streak summary widget on the patient overview; and the streak leaderboard with a three-metric switcher (current streak, best-ever streak, and cumulative points). The choice of Asia/Amman date-key over UTC date-key ensures that midnight boundaries align with the user's lived experience.</w:t>
      </w:r>
    </w:p>
    <w:p>
      <w:r>
        <w:rPr>
          <w:b/>
          <w:i w:val="0"/>
        </w:rPr>
        <w:t>Communications subsystem.</w:t>
      </w:r>
    </w:p>
    <w:p>
      <w:r>
        <w:rPr>
          <w:b w:val="0"/>
          <w:i w:val="0"/>
        </w:rPr>
        <w:t>The author implemented the notifications subsystem, comprising the persistence of a Notification row for each account vetting decision, supervisor decision, redo request, partner request, group join request, and chat message. The associated bell-menu interface surfaces these notifications to the recipient. The author additionally implemented the one-to-one chat workflow between role-paired users (patient and doctor, doctor and supervisor, administrator and any role), comprising participant search, unread message counting, mark-conversation-read on interaction, and optimistic-update message dispatch. The notification fan-out for the multi-supervisor reporting workflow reuses this same infrastructure.</w:t>
      </w:r>
    </w:p>
    <w:p>
      <w:r>
        <w:rPr>
          <w:b/>
          <w:i w:val="0"/>
        </w:rPr>
        <w:t>Administrator and supervisor interfaces.</w:t>
      </w:r>
    </w:p>
    <w:p>
      <w:r>
        <w:rPr>
          <w:b w:val="0"/>
          <w:i w:val="0"/>
        </w:rPr>
        <w:t>The author implemented the four-tab administrator planning workspace (Resources, Plans, Assignments, and Supervisors) that consumes the CRUD endpoints contributed by the team member responsible for backend administrative endpoints. The administrator user directory with its search, filter, block, freeze, and re-approval actions, the Add-case deep-link from the Cases page into the planning Resources tab, and the administrator Settings tab were similarly implemented by the author. On the supervisor side, the author implemented the report review queue and the three-way decision panel (Approve, Needs Edit, Redo), each accepting an optional mark, rating, and feedback annotation.</w:t>
      </w:r>
    </w:p>
    <w:p>
      <w:r>
        <w:rPr>
          <w:b/>
          <w:i w:val="0"/>
        </w:rPr>
        <w:t>Doctor workspace and rotation plan presentation.</w:t>
      </w:r>
    </w:p>
    <w:p>
      <w:r>
        <w:rPr>
          <w:b w:val="0"/>
          <w:i w:val="0"/>
        </w:rPr>
        <w:t>The author implemented the doctor-facing rotation plan workspace, comprising the hero card displaying the next upcoming clinic day, the schedule strip presenting the assigned clinic, supervisor, and shift template, the per-case progress visualisation indicating the categories the student must still complete to meet graduation requirements, and the daily desk view aggregating the next appointment, pending case reports, and supervisor decisions awaiting response. This workspace constitutes the primary surface accessed by student doctors upon login.</w:t>
      </w:r>
    </w:p>
    <w:p>
      <w:r>
        <w:rPr>
          <w:b/>
          <w:i w:val="0"/>
        </w:rPr>
        <w:t>Session lifecycle and authorisation policy.</w:t>
      </w:r>
    </w:p>
    <w:p>
      <w:r>
        <w:rPr>
          <w:b w:val="0"/>
          <w:i w:val="0"/>
        </w:rPr>
        <w:t>While the implementation of the authentication module is the responsibility of another team member, the author established the higher-level session lifecycle policy. The chosen design - a seven-day JSON Web Token signed via passport-jwt, without refresh-token rotation - represents a deliberate engineering trade-off. Refresh-token rotation would add a server-side token persistence layer, a refresh endpoint, and a rotation strategy to defend against token replay. These additions are appropriate at production scale but introduce complexity disproportionate to the threat model of a graduation-project pilot. The seven-day token lifetime maintains a narrow authentication surface in the present implementation while preserving the architectural option to layer refresh-token rotation onto the existing endpoints when usage scale warrants it.</w:t>
      </w:r>
    </w:p>
    <w:p>
      <w:pPr>
        <w:pStyle w:val="Heading3"/>
      </w:pPr>
      <w:r>
        <w:t>2.4 Initiative and Reliability</w:t>
      </w:r>
    </w:p>
    <w:p>
      <w:r>
        <w:rPr>
          <w:b w:val="0"/>
          <w:i w:val="0"/>
        </w:rPr>
        <w:t>Initiative on this project is documented by the set of features whose proposal and implementation were the author's responsibility. These include the arcade engine and its six games; the schema redesign that introduced the per-doctor case-progress denormalised table following supervisor interviews; the streak leaderboard two-tab switcher; the multi-supervisor reporting flow with JSON-array persistence of additional supervisors; the reduced-motion preference toggle in the settings panel; and the patient booking modal's atomic conflict-detection logic. Each of these features was proposed and implemented by the author and represents architectural or product direction beyond explicitly assigned tasks.</w:t>
      </w:r>
    </w:p>
    <w:p>
      <w:r>
        <w:rPr>
          <w:b w:val="0"/>
          <w:i w:val="0"/>
        </w:rPr>
        <w:t>Reliability is documented by the project milestones listed in Section 1.4 of the group report. All ten milestones closed within the GP2 academic window. Milestone M8 (the initial three arcade games) extended by approximately one week due to the unfamiliar shader-aware React implementation of Tooth Defender 3D; the schedule slip was absorbed by reducing the Match Lab difficulty curve from four tiers to three in milestone M9, a reduction subsequently validated by play-testing.</w:t>
      </w:r>
    </w:p>
    <w:p>
      <w:r>
        <w:rPr>
          <w:b w:val="0"/>
          <w:i w:val="0"/>
        </w:rPr>
        <w:t>Additional indicators of reliability not present in the commit history include consistent attendance at the weekly supervisor check-ins with concrete progress demonstrations; same-day response to team-member queries via the project's communication channels; and the consistent provision of explanatory feedback rather than mere rejection during code review.</w:t>
      </w:r>
    </w:p>
    <w:p>
      <w:r>
        <w:br w:type="page"/>
      </w:r>
    </w:p>
    <w:p>
      <w:pPr>
        <w:pStyle w:val="Heading2"/>
      </w:pPr>
      <w:r>
        <w:t>CHAPTER 3: Conclusion and Results</w:t>
      </w:r>
    </w:p>
    <w:p>
      <w:r>
        <w:rPr>
          <w:b w:val="0"/>
          <w:i w:val="0"/>
        </w:rPr>
        <w:t>This chapter summarises the measurable outcomes of the author's contribution to DentyHub at the conclusion of GP2 and identifies the personal and technical results most worth carrying forward.</w:t>
      </w:r>
    </w:p>
    <w:p>
      <w:r>
        <w:rPr>
          <w:b w:val="0"/>
          <w:i w:val="0"/>
        </w:rPr>
        <w:t>At submission, DentyHub is a four-role web platform with both a local development build and a production-shape deployment configuration (Vercel for the frontend, Fly.io for the backend, and Neon for the managed PostgreSQL instance). The measurable outcomes most directly attributable to the author's contribution are summarised below.</w:t>
      </w:r>
    </w:p>
    <w:p>
      <w:pPr>
        <w:pStyle w:val="ListBullet"/>
      </w:pPr>
      <w:r>
        <w:t>Thirty-two functional features are documented in Section 2.1 of the group report, with sixty functional requirements and thirty-four non-functional requirements mapped feature-by-feature in Section 2.2.</w:t>
      </w:r>
    </w:p>
    <w:p>
      <w:pPr>
        <w:pStyle w:val="ListBullet"/>
      </w:pPr>
      <w:r>
        <w:t>Eleven NestJS controllers expose one hundred and nineteen REST endpoints. All endpoints are guarded by the JwtAuthGuard at the controller layer; elevated endpoints additionally enforce the AdminGuard.</w:t>
      </w:r>
    </w:p>
    <w:p>
      <w:pPr>
        <w:pStyle w:val="ListBullet"/>
      </w:pPr>
      <w:r>
        <w:t>The Prisma schema comprises forty-one models, eighteen enumerations, and twelve append-only migrations. Foreign-key referential integrity is enforced at the database level.</w:t>
      </w:r>
    </w:p>
    <w:p>
      <w:pPr>
        <w:pStyle w:val="ListBullet"/>
      </w:pPr>
      <w:r>
        <w:t>The arcade subsystem comprises six games with per-level leaderboards, sticky sequential unlock semantics, server-side enforcement of the once-per-day attempt rule, and a separate daily trivia quiz module.</w:t>
      </w:r>
    </w:p>
    <w:p>
      <w:pPr>
        <w:pStyle w:val="ListBullet"/>
      </w:pPr>
      <w:r>
        <w:t>The Healthy Smile Streak feature implements Asia/Amman date-key arithmetic, automatic badge awards at four milestones (3, 7, 30, and 100 consecutive days), and a three-metric leaderboard.</w:t>
      </w:r>
    </w:p>
    <w:p>
      <w:pPr>
        <w:pStyle w:val="ListBullet"/>
      </w:pPr>
      <w:r>
        <w:t>The internationalisation dictionary contains approximately one thousand one hundred keys distributed across English and Arabic. All patient-facing screens render with complete right-to-left layout in Arabic, as verified by TC-28 in Section 5.2 of the group report.</w:t>
      </w:r>
    </w:p>
    <w:p>
      <w:pPr>
        <w:pStyle w:val="ListBullet"/>
      </w:pPr>
      <w:r>
        <w:t>All four user roles support light and dark themes; all patient-facing screens render at a 360-pixel viewport without horizontal scrolling; the settings panel exposes a reduced-motion preference compliant with WCAG 2.1 SC 2.3.3.</w:t>
      </w:r>
    </w:p>
    <w:p>
      <w:pPr>
        <w:pStyle w:val="ListBullet"/>
      </w:pPr>
      <w:r>
        <w:t>All thirty scenario tests pass against the freeze build. Login round-trip latency at the 95th percentile is below the 250-millisecond target specified in NFR-2; dashboard first contentful paint is below the 1500-millisecond target specified in NFR-7 against a simulated 4G connection.</w:t>
      </w:r>
    </w:p>
    <w:p>
      <w:r>
        <w:rPr>
          <w:b w:val="0"/>
          <w:i w:val="0"/>
        </w:rPr>
        <w:t>The personal result the author considers most significant is not any individual feature but the overall maintainability of the codebase. Module docstrings are present throughout the backend; schema decisions are explained in inline comments; the migration sequence forms a coherent narrative of the system's evolution; the internationalisation dictionary uses a clear key namespace convention; and the engine contracts are explicit. The intended outcome is that the gap between the present implementation and a production-deployable system is substantially smaller than would have been the case had short-term deadline pressure been permitted to compromise these qualities.</w:t>
      </w:r>
    </w:p>
    <w:p>
      <w:r>
        <w:rPr>
          <w:b w:val="0"/>
          <w:i w:val="0"/>
        </w:rPr>
        <w:t>Looking beyond the present project, the principles the author intends to carry forward are: prioritising data-model design over user-interface design; encoding process rules in written form rather than relying on team memory; exercising explicit discipline regarding scope; and establishing modular boundaries that may not provide immediate benefit but reduce future maintenance cost. The author acknowledges that these principles were not applied with perfect consistency during the present project; the intent for future work is to apply them more systematically.</w:t>
      </w:r>
    </w:p>
    <w:p>
      <w:r>
        <w:rPr>
          <w:b w:val="0"/>
          <w:i w:val="0"/>
        </w:rPr>
        <w:t>The author gratefully acknowledges Dr. Zakarea M. Al Shara'a for his sustained supervision throughout both academic cycles; the four team members - Suhib Naser Rizek Hawwari, Nabeel Fadl Nabeel Aldalqamoni, Batool Amin Ali Allatayfeh, and Ragd Sami Mousa Al Qawasmi - for their respective contributions, which are documented in their individual reflection reports; the friends from the Faculty of Dentistry who provided domain expertise that shaped the data model; and the open-source maintainers of the NestJS, Prisma, Next.js, React, Tailwind, three.js, and react-three-fiber projects upon which this work depends.</w:t>
      </w:r>
    </w:p>
    <w:sectPr w:rsidR="00FC693F" w:rsidRPr="0006063C" w:rsidSect="00034616">
      <w:pgSz w:w="12240" w:h="15840"/>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