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Jordan University of Science and Technology</w:t>
      </w:r>
    </w:p>
    <w:p>
      <w:pPr>
        <w:jc w:val="center"/>
      </w:pPr>
      <w:r>
        <w:rPr>
          <w:b/>
          <w:sz w:val="26"/>
        </w:rPr>
        <w:t>College of Computer Sciences and Information Technology</w:t>
      </w:r>
    </w:p>
    <w:p>
      <w:pPr>
        <w:jc w:val="center"/>
      </w:pPr>
      <w:r>
        <w:rPr>
          <w:b/>
          <w:sz w:val="26"/>
        </w:rPr>
        <w:t>Department of Software Engineering</w:t>
      </w:r>
    </w:p>
    <w:p/>
    <w:p/>
    <w:p/>
    <w:p>
      <w:pPr>
        <w:jc w:val="center"/>
      </w:pPr>
      <w:r>
        <w:rPr>
          <w:b/>
          <w:sz w:val="52"/>
        </w:rPr>
        <w:t>DentyHub</w:t>
      </w:r>
    </w:p>
    <w:p>
      <w:pPr>
        <w:jc w:val="center"/>
      </w:pPr>
      <w:r>
        <w:rPr>
          <w:i/>
          <w:sz w:val="24"/>
        </w:rPr>
        <w:t>A Supervised Dental Training Platform Connecting Patients, Student Doctors, Clinical Supervisors, and Administrators</w:t>
      </w:r>
    </w:p>
    <w:p/>
    <w:p>
      <w:pPr>
        <w:jc w:val="center"/>
      </w:pPr>
      <w:r>
        <w:rPr>
          <w:b/>
          <w:sz w:val="30"/>
        </w:rPr>
        <w:t>Graduation Project Individual Reflection Report</w:t>
      </w:r>
    </w:p>
    <w:p/>
    <w:p/>
    <w:p>
      <w:pPr>
        <w:jc w:val="center"/>
      </w:pPr>
      <w:r>
        <w:rPr>
          <w:i/>
        </w:rPr>
        <w:t>Prepared by</w:t>
      </w:r>
    </w:p>
    <w:p>
      <w:pPr>
        <w:jc w:val="center"/>
      </w:pPr>
      <w:r>
        <w:rPr>
          <w:sz w:val="26"/>
        </w:rPr>
        <w:t>Ragd Sami Mousa Al Qawasmi (Student ID: 162083)</w:t>
      </w:r>
    </w:p>
    <w:p/>
    <w:p>
      <w:pPr>
        <w:jc w:val="center"/>
      </w:pPr>
      <w:r>
        <w:rPr>
          <w:i/>
        </w:rPr>
        <w:t>Supervised by</w:t>
      </w:r>
    </w:p>
    <w:p>
      <w:pPr>
        <w:jc w:val="center"/>
      </w:pPr>
      <w:r>
        <w:rPr>
          <w:sz w:val="24"/>
        </w:rPr>
        <w:t>Dr. Zakarea M. Al Shara'a</w:t>
      </w:r>
    </w:p>
    <w:p/>
    <w:p/>
    <w:p>
      <w:pPr>
        <w:jc w:val="center"/>
      </w:pPr>
      <w:r>
        <w:rPr>
          <w:b/>
        </w:rPr>
        <w:t>May 2026</w:t>
      </w:r>
    </w:p>
    <w:p>
      <w:r>
        <w:br w:type="page"/>
      </w:r>
    </w:p>
    <w:p>
      <w:pPr>
        <w:pStyle w:val="Heading2"/>
      </w:pPr>
      <w:r>
        <w:t>Undertaking</w:t>
      </w:r>
    </w:p>
    <w:p>
      <w:r>
        <w:rPr>
          <w:b w:val="0"/>
          <w:i w:val="0"/>
        </w:rPr>
        <w:t>I hereby declare that the project titled "DentyHub: A Supervised Dental Training Platform" is an original work conducted by the undersigned team in partial fulfillment of the requirements for the Bachelor of Science degree in Software Engineering at the Department of Software Engineering, Jordan University of Science and Technology, Irbid, Jordan.</w:t>
      </w:r>
    </w:p>
    <w:p>
      <w:r>
        <w:rPr>
          <w:b w:val="0"/>
          <w:i w:val="0"/>
        </w:rPr>
        <w:t>The lessons, observations, and individual contributions described in this reflection report represent an honest assessment of the role the undersigned personally fulfilled within the project team. The literature and external software components referenced in this work are cited in the References section of the group report. This individual report has not been submitted, in whole or in part, to any other university or academic institution.</w:t>
      </w:r>
    </w:p>
    <w:p/>
    <w:p/>
    <w:p>
      <w:r>
        <w:rPr>
          <w:b w:val="0"/>
          <w:i w:val="0"/>
        </w:rPr>
        <w:t>Student Name: Ragd Sami Mousa Al Qawasmi</w:t>
      </w:r>
    </w:p>
    <w:p/>
    <w:p>
      <w:r>
        <w:rPr>
          <w:b w:val="0"/>
          <w:i w:val="0"/>
        </w:rPr>
        <w:t>Signature: ____________________________</w:t>
      </w:r>
    </w:p>
    <w:p/>
    <w:p>
      <w:r>
        <w:rPr>
          <w:b w:val="0"/>
          <w:i w:val="0"/>
        </w:rPr>
        <w:t>Date: ____ / ____ / 2026</w:t>
      </w:r>
    </w:p>
    <w:p>
      <w:r>
        <w:br w:type="page"/>
      </w:r>
    </w:p>
    <w:p>
      <w:pPr>
        <w:pStyle w:val="Heading2"/>
      </w:pPr>
      <w:r>
        <w:t>Contents</w:t>
      </w:r>
    </w:p>
    <w:p>
      <w:r>
        <w:rPr>
          <w:b w:val="0"/>
          <w:i/>
        </w:rPr>
        <w:t>The reader may regenerate the page-numbered Table of Contents by placing the cursor below this line and selecting References → Table of Contents → Update Field in Microsoft Word. The TOC is produced from the Heading 2 and Heading 3 styles applied throughout this document.</w:t>
      </w:r>
    </w:p>
    <w:p>
      <w:r>
        <w:rPr>
          <w:b w:val="0"/>
          <w:i/>
        </w:rPr>
        <w:t>[ The Table of Contents will be rendered here upon Update Field. ]</w:t>
      </w:r>
    </w:p>
    <w:p>
      <w:r>
        <w:br w:type="page"/>
      </w:r>
    </w:p>
    <w:p>
      <w:pPr>
        <w:pStyle w:val="Heading2"/>
      </w:pPr>
      <w:r>
        <w:t>CHAPTER 1: Lessons Learned</w:t>
      </w:r>
    </w:p>
    <w:p>
      <w:r>
        <w:rPr>
          <w:b w:val="0"/>
          <w:i w:val="0"/>
        </w:rPr>
        <w:t>This chapter documents the lessons derived from the author's participation in the DentyHub project. The reflection is organised into three categories: strategies and processes that contributed to the success of the author's deliverables; areas in which the author's approach could be improved; and broader observations gained through participation in a multi-person software engineering project.</w:t>
      </w:r>
    </w:p>
    <w:p>
      <w:pPr>
        <w:pStyle w:val="Heading3"/>
      </w:pPr>
      <w:r>
        <w:t>1.1 Strategies and Processes that led to Success</w:t>
      </w:r>
    </w:p>
    <w:p>
      <w:r>
        <w:rPr>
          <w:b w:val="0"/>
          <w:i w:val="0"/>
        </w:rPr>
        <w:t>The author's principal contribution to DentyHub comprised the design and implementation of the clinical cases domain. This domain encompasses the SemesterClinicCase model and its associated catalogue management; the DoctorClinicCaseProgress denormalised rollup model tracking each doctor's progress toward the graduation requirement for each case category; the integration of the cases domain with the doctor groups and semester rotation infrastructure; and the case-state transitions triggered by the supervisor decision workflow.</w:t>
      </w:r>
    </w:p>
    <w:p>
      <w:r>
        <w:rPr>
          <w:b w:val="0"/>
          <w:i w:val="0"/>
        </w:rPr>
        <w:t>The decision to consult a domain expert from the Faculty of Dentistry before drafting the schema produced significant design value. The clarification that a redo decision implies treatment of a different patient rather than re-treatment of the same patient shaped the entire data model: it necessitated the DoctorClinicCaseProgress denormalised table rather than a derived view, because a redo on one appointment must not credit a separate appointment touching the same case. Domain consultation prior to implementation produced a more accurate model than would have resulted from inference alone.</w:t>
      </w:r>
    </w:p>
    <w:p>
      <w:r>
        <w:rPr>
          <w:b w:val="0"/>
          <w:i w:val="0"/>
        </w:rPr>
        <w:t>Beyond the contribution described above, the author attended weekly supervisory check-ins with Dr. Zakarea M. Al Shara'a and participated in code review on pull requests covering work surfaces adjacent to the author's own. Observing the project lead's discipline regarding data-model design and migration management contributed to the author's understanding of professional software engineering practice, which the author characterises as the consistent application of small habits rather than the occasional execution of large heroic actions.</w:t>
      </w:r>
    </w:p>
    <w:p>
      <w:pPr>
        <w:pStyle w:val="Heading3"/>
      </w:pPr>
      <w:r>
        <w:t>1.2 Areas of potential improvement</w:t>
      </w:r>
    </w:p>
    <w:p>
      <w:r>
        <w:rPr>
          <w:b w:val="0"/>
          <w:i w:val="0"/>
        </w:rPr>
        <w:t>The initial implementation attempted to derive per-doctor case progress dynamically from the appointment and report records, on the assumption that denormalisation should be avoided where possible. While this approach produced correct results, the five-table join required to compute per-case progress proved slow enough that the doctor dashboard's case-progress component exhibited visible loading delay. The subsequently adopted denormalised DoctorClinicCaseProgress table with transactional updates triggered by the supervisor decision constitutes the appropriate solution. In retrospect, the derived-view implementation should have been bypassed in favour of the denormalised approach from the outset.</w:t>
      </w:r>
    </w:p>
    <w:p>
      <w:r>
        <w:rPr>
          <w:b w:val="0"/>
          <w:i w:val="0"/>
        </w:rPr>
        <w:t>Additionally, the author observes that engagement with the wider architectural decisions of the project could have been more substantial. The focused scope of the author's contribution during GP2 was appropriate to the time available and to the depth required for the chosen specialisation; however, broader participation in architectural discussion would have enhanced the author's confidence when addressing system-level questions. In future projects, the author intends to combine focused specialisation with one stretch contribution at the architectural level.</w:t>
      </w:r>
    </w:p>
    <w:p>
      <w:pPr>
        <w:pStyle w:val="Heading3"/>
      </w:pPr>
      <w:r>
        <w:t>1.3 Other lessons learned</w:t>
      </w:r>
    </w:p>
    <w:p>
      <w:r>
        <w:rPr>
          <w:b w:val="0"/>
          <w:i w:val="0"/>
        </w:rPr>
        <w:t>Domain modelling is more accurately characterised as constraint specification than as field specification. The UNIQUE constraint on (doctorId, clinicCaseId) applied to DoctorClinicCaseProgress is the property that permits the question "has this doctor completed this case category?" to be answered by a single Boolean lookup rather than by a count operation combined with a comparison. The UNIQUE constraint on (semesterId, clinicId, title) applied to SemesterClinicCase prevents the duplicate listing of the same case when an administrator re-creates it. Specifying these constraints at the schema level obviated substantial defensive code at the application level.</w:t>
      </w:r>
    </w:p>
    <w:p>
      <w:r>
        <w:rPr>
          <w:b w:val="0"/>
          <w:i w:val="0"/>
        </w:rPr>
        <w:t>The author additionally observes that working on a project addressing a tangible social purpose - the provision of supervised dental care to patients who would otherwise lack access to it - differs qualitatively from the abstraction of standard coursework. The user is no longer an abstract specification but a person whose interaction with the system has practical consequences. Conversations with practitioners from the Faculty of Dentistry clarifying the operational meaning of clinical concepts (for example, the precise definition of a redo request) made the data-model decisions more concrete than they would otherwise have been.</w:t>
      </w:r>
    </w:p>
    <w:p>
      <w:r>
        <w:br w:type="page"/>
      </w:r>
    </w:p>
    <w:p>
      <w:pPr>
        <w:pStyle w:val="Heading2"/>
      </w:pPr>
      <w:r>
        <w:t>CHAPTER 2: Individual Contributions</w:t>
      </w:r>
    </w:p>
    <w:p>
      <w:r>
        <w:rPr>
          <w:b w:val="0"/>
          <w:i w:val="0"/>
        </w:rPr>
        <w:t>This chapter characterises the author's contribution to DentyHub. Qualitative claims are cross-referenced to the corresponding sections, figures, features, requirements, and test cases of the group report.</w:t>
      </w:r>
    </w:p>
    <w:p>
      <w:pPr>
        <w:pStyle w:val="Heading3"/>
      </w:pPr>
      <w:r>
        <w:t>2.1 Amount of Work</w:t>
      </w:r>
    </w:p>
    <w:p>
      <w:r>
        <w:rPr>
          <w:b w:val="0"/>
          <w:i w:val="0"/>
        </w:rPr>
        <w:t>The author's contribution to DentyHub comprised a deliverable scoped to be defensible at the level of detail required by the project viva. The deliverable - "Clinical cases domain - semester clinic cases, per-doctor case progress, and integration with the booking and supervisor decision workflows" - was executed against the project freeze build during the final two weeks of GP2 and is documented in the artefacts contributed to the project repository.</w:t>
      </w:r>
    </w:p>
    <w:p>
      <w:pPr>
        <w:pStyle w:val="Heading3"/>
      </w:pPr>
      <w:r>
        <w:t>2.2 Quality of Work</w:t>
      </w:r>
    </w:p>
    <w:p>
      <w:r>
        <w:rPr>
          <w:b w:val="0"/>
          <w:i w:val="0"/>
        </w:rPr>
        <w:t>The quality standard applied to this deliverable required that each observation produced by the author be reproducible by a different team member from the same starting state, and that each defect or design decision filed be sufficiently precise that the receiving team member could act upon it without further consultation. Concretely, the author recorded the actual behaviour against the expected behaviour for each case considered, and re-validated the failing cases after the corresponding fixes were applied. The discipline of re-validation, while readily omitted under deadline pressure, prevents regression and was treated as non-optional in this deliverable.</w:t>
      </w:r>
    </w:p>
    <w:p>
      <w:pPr>
        <w:pStyle w:val="Heading3"/>
      </w:pPr>
      <w:r>
        <w:t>2.3 Specialized Contributions</w:t>
      </w:r>
    </w:p>
    <w:p>
      <w:r>
        <w:rPr>
          <w:b/>
          <w:i w:val="0"/>
        </w:rPr>
        <w:t>Specialisation: Clinical cases domain modelling and per-doctor graduation progress tracking.</w:t>
      </w:r>
    </w:p>
    <w:p>
      <w:r>
        <w:rPr>
          <w:b w:val="0"/>
          <w:i w:val="0"/>
        </w:rPr>
        <w:t>The author designed and implemented the clinical cases domain comprising three principal models. The SemesterClinicCase model represents the bookable case category, scoped to a particular semester at a particular clinic, with an integer requiredCount field encoding the graduation requirement. The DoctorClinicCaseProgress model represents the per-(doctor, case) rollup, comprising a status enumeration (OPEN, ASSISTED, COMPLETED) and back-pointer fields lastReportId and lastAppointmentId. The Appointment model was extended to reference a SemesterClinicCase, ensuring that a patient cannot reserve a slot without simultaneously specifying a case category.</w:t>
      </w:r>
    </w:p>
    <w:p>
      <w:r>
        <w:rPr>
          <w:b w:val="0"/>
          <w:i w:val="0"/>
        </w:rPr>
        <w:t>The author additionally implemented the case-state transitions triggered by the three supervisor decision outcomes. The APPROVE decision updates DoctorClinicCaseProgress to the COMPLETED status within the same Prisma transaction as the CaseReport status update, ensuring that the graduation-credit record cannot diverge from the supervisor's authoritative record. The REDO decision leaves the progress record at the OPEN status and invalidates the underlying appointment, requiring the doctor to repeat the case category with a different patient on a fresh appointment. The NEEDS_EDIT decision affects neither the progress record nor the appointment binding; the report is unlocked for resubmission with the same patient and doctor. These transitions are documented in Figure 3.6 (the appointment state diagram) and Figure 3.5 (the supervisor decision sequence diagram) of the group report.</w:t>
      </w:r>
    </w:p>
    <w:p>
      <w:r>
        <w:rPr>
          <w:b w:val="0"/>
          <w:i w:val="0"/>
        </w:rPr>
        <w:t>The author additionally implemented the integration of the cases domain with the administrator surfaces, comprising the administrator Cases page (which presents the semester catalogue with per-clinic grouping, soft-delete and restore actions, and the per-doctor progress override panel) and the bulk semester-cohort progression action (which advances every doctor in a DoctorGroup to the subsequent year within a single Prisma transaction). The bulk progression action exemplifies the all-or-nothing semantics required by the operation: either every doctor in the cohort advances or no doctor advances; no intermediate state is permitted.</w:t>
      </w:r>
    </w:p>
    <w:p>
      <w:pPr>
        <w:pStyle w:val="Heading3"/>
      </w:pPr>
      <w:r>
        <w:t>2.4 Initiative and Reliability</w:t>
      </w:r>
    </w:p>
    <w:p>
      <w:r>
        <w:rPr>
          <w:b w:val="0"/>
          <w:i w:val="0"/>
        </w:rPr>
        <w:t>The author proposed the scope of the present deliverable, executed it without requiring detailed guidance from the project lead, and reported completion through the project's standard communication channel on the same day as the freeze pass concluded. The deliverable was completed within the originally committed timeframe.</w:t>
      </w:r>
    </w:p>
    <w:p>
      <w:r>
        <w:rPr>
          <w:b w:val="0"/>
          <w:i w:val="0"/>
        </w:rPr>
        <w:t>Reliability is documented by the sign-off message posted at the conclusion of the freeze pass and by the absence of subsequent rework requirements arising from the deliverable.</w:t>
      </w:r>
    </w:p>
    <w:p>
      <w:r>
        <w:br w:type="page"/>
      </w:r>
    </w:p>
    <w:p>
      <w:pPr>
        <w:pStyle w:val="Heading2"/>
      </w:pPr>
      <w:r>
        <w:t>CHAPTER 3: Conclusion and Results</w:t>
      </w:r>
    </w:p>
    <w:p>
      <w:r>
        <w:rPr>
          <w:b w:val="0"/>
          <w:i w:val="0"/>
        </w:rPr>
        <w:t>The clinical cases domain implemented by the author constitutes the integrative element between the academic and clinical aspects of the system. It is documented in the group report as features F5 (appointment request with clinic case selection), F11 (administrator planning workspace), F26 (per-doctor case progress override), and F27 (bulk semester progression); is governed by functional requirements FR-13, FR-21, FR-25 through FR-27, FR-49, and FR-50 of Section 2.2; and is validated by test cases TC-12 (APPROVE updates progress) and TC-14 (REDO does not credit). The atomic-decision guarantee provided by this domain represents the architectural property that distinguishes DentyHub from a generic appointment management system.</w:t>
      </w:r>
    </w:p>
    <w:p>
      <w:r>
        <w:rPr>
          <w:b w:val="0"/>
          <w:i w:val="0"/>
        </w:rPr>
        <w:t>Considered in the wider context of the project, DentyHub constitutes a four-role platform encompassing the full case lifecycle from patient request to supervisor-approved case report, augmented by a patient engagement layer (streak, badges, six arcade games, and a daily trivia quiz) and complete English and Arabic localisation with right-to-left presentation on every patient-facing screen. The author's deliverable integrates into this wider system as one verifiable thread of contribution; the full system documentation appears in Chapters 1 through 5 and the twelve appendices of the group report.</w:t>
      </w:r>
    </w:p>
    <w:p>
      <w:r>
        <w:rPr>
          <w:b w:val="0"/>
          <w:i w:val="0"/>
        </w:rPr>
        <w:t>The most significant result the author identifies for personal carry-forward is the experience of taking sole responsibility for a defined component of a real system. This experience differs from coursework in that the deliverable will be examined by a panel and may subsequently be used in production. Awareness of this downstream consumption altered the author's working standard during execution and constitutes the principal professional skill developed through participation in the project.</w:t>
      </w:r>
    </w:p>
    <w:p>
      <w:r>
        <w:rPr>
          <w:b w:val="0"/>
          <w:i w:val="0"/>
        </w:rPr>
        <w:t>The author gratefully acknowledges Dr. Zakarea M. Al Shara'a for the project supervision; Omar Mohammed Subhi Al Shamali for the technical leadership of the team and the codebase; and the remaining team members for their respective contributions, which are documented in their individual reflection reports.</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