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Jordan University of Science and Technology</w:t>
      </w:r>
    </w:p>
    <w:p>
      <w:pPr>
        <w:jc w:val="center"/>
      </w:pPr>
      <w:r>
        <w:rPr>
          <w:b/>
          <w:sz w:val="26"/>
        </w:rPr>
        <w:t>College of Computer Sciences and Information Technology</w:t>
      </w:r>
    </w:p>
    <w:p>
      <w:pPr>
        <w:jc w:val="center"/>
      </w:pPr>
      <w:r>
        <w:rPr>
          <w:b/>
          <w:sz w:val="26"/>
        </w:rPr>
        <w:t>Department of Software Engineering</w:t>
      </w:r>
    </w:p>
    <w:p/>
    <w:p/>
    <w:p/>
    <w:p>
      <w:pPr>
        <w:jc w:val="center"/>
      </w:pPr>
      <w:r>
        <w:rPr>
          <w:b/>
          <w:sz w:val="52"/>
        </w:rPr>
        <w:t>DentyHub</w:t>
      </w:r>
    </w:p>
    <w:p>
      <w:pPr>
        <w:jc w:val="center"/>
      </w:pPr>
      <w:r>
        <w:rPr>
          <w:i/>
          <w:sz w:val="24"/>
        </w:rPr>
        <w:t>A Supervised Dental Training Platform Connecting Patients, Student Doctors, Clinical Supervisors, and Administrators</w:t>
      </w:r>
    </w:p>
    <w:p/>
    <w:p>
      <w:pPr>
        <w:jc w:val="center"/>
      </w:pPr>
      <w:r>
        <w:rPr>
          <w:b/>
          <w:sz w:val="30"/>
        </w:rPr>
        <w:t>Graduation Project Individual Reflection Report</w:t>
      </w:r>
    </w:p>
    <w:p/>
    <w:p/>
    <w:p>
      <w:pPr>
        <w:jc w:val="center"/>
      </w:pPr>
      <w:r>
        <w:rPr>
          <w:i/>
        </w:rPr>
        <w:t>Prepared by</w:t>
      </w:r>
    </w:p>
    <w:p>
      <w:pPr>
        <w:jc w:val="center"/>
      </w:pPr>
      <w:r>
        <w:rPr>
          <w:sz w:val="26"/>
        </w:rPr>
        <w:t>Suhib Naser Rizek Hawwari (Student ID: 154860)</w:t>
      </w:r>
    </w:p>
    <w:p/>
    <w:p>
      <w:pPr>
        <w:jc w:val="center"/>
      </w:pPr>
      <w:r>
        <w:rPr>
          <w:i/>
        </w:rPr>
        <w:t>Supervised by</w:t>
      </w:r>
    </w:p>
    <w:p>
      <w:pPr>
        <w:jc w:val="center"/>
      </w:pPr>
      <w:r>
        <w:rPr>
          <w:sz w:val="24"/>
        </w:rPr>
        <w:t>Dr. Zakarea M. Al Shara'a</w:t>
      </w:r>
    </w:p>
    <w:p/>
    <w:p/>
    <w:p>
      <w:pPr>
        <w:jc w:val="center"/>
      </w:pPr>
      <w:r>
        <w:rPr>
          <w:b/>
        </w:rPr>
        <w:t>May 2026</w:t>
      </w:r>
    </w:p>
    <w:p>
      <w:r>
        <w:br w:type="page"/>
      </w:r>
    </w:p>
    <w:p>
      <w:pPr>
        <w:pStyle w:val="Heading2"/>
      </w:pPr>
      <w:r>
        <w:t>Undertaking</w:t>
      </w:r>
    </w:p>
    <w:p>
      <w:r>
        <w:rPr>
          <w:b w:val="0"/>
          <w:i w:val="0"/>
        </w:rPr>
        <w:t>I hereby declare that the project titled "DentyHub: A Supervised Dental Training Platform" is an original work conducted by the undersigned team in partial fulfillment of the requirements for the Bachelor of Science degree in Software Engineering at the Department of Software Engineering, Jordan University of Science and Technology, Irbid, Jordan.</w:t>
      </w:r>
    </w:p>
    <w:p>
      <w:r>
        <w:rPr>
          <w:b w:val="0"/>
          <w:i w:val="0"/>
        </w:rPr>
        <w:t>The lessons, observations, and individual contributions described in this reflection report represent an honest assessment of the role the undersigned personally fulfilled within the project team. The literature and external software components referenced in this work are cited in the References section of the group report. This individual report has not been submitted, in whole or in part, to any other university or academic institution.</w:t>
      </w:r>
    </w:p>
    <w:p/>
    <w:p/>
    <w:p>
      <w:r>
        <w:rPr>
          <w:b w:val="0"/>
          <w:i w:val="0"/>
        </w:rPr>
        <w:t>Student Name: Suhib Naser Rizek Hawwari</w:t>
      </w:r>
    </w:p>
    <w:p/>
    <w:p>
      <w:r>
        <w:rPr>
          <w:b w:val="0"/>
          <w:i w:val="0"/>
        </w:rPr>
        <w:t>Signature: ____________________________</w:t>
      </w:r>
    </w:p>
    <w:p/>
    <w:p>
      <w:r>
        <w:rPr>
          <w:b w:val="0"/>
          <w:i w:val="0"/>
        </w:rPr>
        <w:t>Date: ____ / ____ / 2026</w:t>
      </w:r>
    </w:p>
    <w:p>
      <w:r>
        <w:br w:type="page"/>
      </w:r>
    </w:p>
    <w:p>
      <w:pPr>
        <w:pStyle w:val="Heading2"/>
      </w:pPr>
      <w:r>
        <w:t>Contents</w:t>
      </w:r>
    </w:p>
    <w:p>
      <w:r>
        <w:rPr>
          <w:b w:val="0"/>
          <w:i/>
        </w:rPr>
        <w:t>The reader may regenerate the page-numbered Table of Contents by placing the cursor below this line and selecting References → Table of Contents → Update Field in Microsoft Word. The TOC is produced from the Heading 2 and Heading 3 styles applied throughout this document.</w:t>
      </w:r>
    </w:p>
    <w:p>
      <w:r>
        <w:rPr>
          <w:b w:val="0"/>
          <w:i/>
        </w:rPr>
        <w:t>[ The Table of Contents will be rendered here upon Update Field. ]</w:t>
      </w:r>
    </w:p>
    <w:p>
      <w:r>
        <w:br w:type="page"/>
      </w:r>
    </w:p>
    <w:p>
      <w:pPr>
        <w:pStyle w:val="Heading2"/>
      </w:pPr>
      <w:r>
        <w:t>CHAPTER 1: Lessons Learned</w:t>
      </w:r>
    </w:p>
    <w:p>
      <w:r>
        <w:rPr>
          <w:b w:val="0"/>
          <w:i w:val="0"/>
        </w:rPr>
        <w:t>This chapter documents the lessons derived from the author's participation in the DentyHub project. The reflection is organised into three categories: strategies and processes that contributed to the success of the author's deliverables; areas in which the author's approach could be improved; and broader observations gained through participation in a multi-person software engineering project.</w:t>
      </w:r>
    </w:p>
    <w:p>
      <w:pPr>
        <w:pStyle w:val="Heading3"/>
      </w:pPr>
      <w:r>
        <w:t>1.1 Strategies and Processes that led to Success</w:t>
      </w:r>
    </w:p>
    <w:p>
      <w:r>
        <w:rPr>
          <w:b w:val="0"/>
          <w:i w:val="0"/>
        </w:rPr>
        <w:t>The author's principal contribution to DentyHub comprised the implementation of the backend create-read-update-delete (CRUD) endpoints supporting the administrative data-management surfaces. Specifically, the author authored the endpoints for the four role-typed user directories (patient, doctor, supervisor, and administrator), for rotation plans and their per-day assignments, and for doctor groups and group memberships. These endpoints constitute the data-management layer that transforms the administrator planning workspace from a read-only directory into an operational management tool.</w:t>
      </w:r>
    </w:p>
    <w:p>
      <w:r>
        <w:rPr>
          <w:b w:val="0"/>
          <w:i w:val="0"/>
        </w:rPr>
        <w:t>The decision to follow the existing controller-per-domain convention rather than to introduce a parallel structure produced consistent and predictable interfaces. Each new endpoint resides within the appropriate domain controller alongside existing peer endpoints, applies the JwtAuthGuard and the appropriate role guard at the controller layer, and validates incoming payloads through class-validator data transfer objects with whitelist enforcement enabled. This consistency simplified consumption by the frontend and reduced the cognitive overhead required during code review.</w:t>
      </w:r>
    </w:p>
    <w:p>
      <w:r>
        <w:rPr>
          <w:b w:val="0"/>
          <w:i w:val="0"/>
        </w:rPr>
        <w:t>Beyond the contribution described above, the author attended weekly supervisory check-ins with Dr. Zakarea M. Al Shara'a and participated in code review on pull requests covering work surfaces adjacent to the author's own. Observing the project lead's discipline regarding data-model design and migration management contributed to the author's understanding of professional software engineering practice, which the author characterises as the consistent application of small habits rather than the occasional execution of large heroic actions.</w:t>
      </w:r>
    </w:p>
    <w:p>
      <w:pPr>
        <w:pStyle w:val="Heading3"/>
      </w:pPr>
      <w:r>
        <w:t>1.2 Areas of potential improvement</w:t>
      </w:r>
    </w:p>
    <w:p>
      <w:r>
        <w:rPr>
          <w:b w:val="0"/>
          <w:i w:val="0"/>
        </w:rPr>
        <w:t>In retrospect, the data transfer objects should have been specified before the controller signatures. The chosen order - controllers first, with data transfer objects back-filled - resulted in two validation gaps that were subsequently identified during the manual scenario-test pass. Adopting a data-transfer-object-first design would have prevented these gaps and would have permitted TypeScript type-checking to enforce consistency between the payload structure and the controller interface.</w:t>
      </w:r>
    </w:p>
    <w:p>
      <w:r>
        <w:rPr>
          <w:b w:val="0"/>
          <w:i w:val="0"/>
        </w:rPr>
        <w:t>Additionally, the author observes that engagement with the wider architectural decisions of the project could have been more substantial. The focused scope of the author's contribution during GP2 was appropriate to the time available and to the depth required for the chosen specialisation; however, broader participation in architectural discussion would have enhanced the author's confidence when addressing system-level questions. In future projects, the author intends to combine focused specialisation with one stretch contribution at the architectural level.</w:t>
      </w:r>
    </w:p>
    <w:p>
      <w:pPr>
        <w:pStyle w:val="Heading3"/>
      </w:pPr>
      <w:r>
        <w:t>1.3 Other lessons learned</w:t>
      </w:r>
    </w:p>
    <w:p>
      <w:r>
        <w:rPr>
          <w:b w:val="0"/>
          <w:i w:val="0"/>
        </w:rPr>
        <w:t>The implementation of CRUD endpoints surfaces a significant design decision at each entity: whether to support hard deletion, soft deletion, or deactivation. The decision depends on the entity's referential context. A clinic must be soft-deleted because referencing appointment records would otherwise be orphaned; a rotation-plan day may be hard-deleted because the parent plan record remains intact; a doctor group requires deactivation rather than deletion because audit considerations require the historical record to be preserved. The lesson is that CRUD design is not mechanical but requires per-entity consideration of referential semantics.</w:t>
      </w:r>
    </w:p>
    <w:p>
      <w:r>
        <w:rPr>
          <w:b w:val="0"/>
          <w:i w:val="0"/>
        </w:rPr>
        <w:t>The author additionally observes that working on a project addressing a tangible social purpose - the provision of supervised dental care to patients who would otherwise lack access to it - differs qualitatively from the abstraction of standard coursework. The user is no longer an abstract specification but a person whose interaction with the system has practical consequences. Conversations with practitioners from the Faculty of Dentistry clarifying the operational meaning of clinical concepts (for example, the precise definition of a redo request) made the data-model decisions more concrete than they would otherwise have been.</w:t>
      </w:r>
    </w:p>
    <w:p>
      <w:r>
        <w:br w:type="page"/>
      </w:r>
    </w:p>
    <w:p>
      <w:pPr>
        <w:pStyle w:val="Heading2"/>
      </w:pPr>
      <w:r>
        <w:t>CHAPTER 2: Individual Contributions</w:t>
      </w:r>
    </w:p>
    <w:p>
      <w:r>
        <w:rPr>
          <w:b w:val="0"/>
          <w:i w:val="0"/>
        </w:rPr>
        <w:t>This chapter characterises the author's contribution to DentyHub. Qualitative claims are cross-referenced to the corresponding sections, figures, features, requirements, and test cases of the group report.</w:t>
      </w:r>
    </w:p>
    <w:p>
      <w:pPr>
        <w:pStyle w:val="Heading3"/>
      </w:pPr>
      <w:r>
        <w:t>2.1 Amount of Work</w:t>
      </w:r>
    </w:p>
    <w:p>
      <w:r>
        <w:rPr>
          <w:b w:val="0"/>
          <w:i w:val="0"/>
        </w:rPr>
        <w:t>The author's contribution to DentyHub comprised a deliverable scoped to be defensible at the level of detail required by the project viva. The deliverable - "Administrative create-read-update-delete endpoints for users, rotation plans, and doctor groups" - was executed against the project freeze build during the final two weeks of GP2 and is documented in the artefacts contributed to the project repository.</w:t>
      </w:r>
    </w:p>
    <w:p>
      <w:pPr>
        <w:pStyle w:val="Heading3"/>
      </w:pPr>
      <w:r>
        <w:t>2.2 Quality of Work</w:t>
      </w:r>
    </w:p>
    <w:p>
      <w:r>
        <w:rPr>
          <w:b w:val="0"/>
          <w:i w:val="0"/>
        </w:rPr>
        <w:t>The quality standard applied to this deliverable required that each observation produced by the author be reproducible by a different team member from the same starting state, and that each defect or design decision filed be sufficiently precise that the receiving team member could act upon it without further consultation. Concretely, the author recorded the actual behaviour against the expected behaviour for each case considered, and re-validated the failing cases after the corresponding fixes were applied. The discipline of re-validation, while readily omitted under deadline pressure, prevents regression and was treated as non-optional in this deliverable.</w:t>
      </w:r>
    </w:p>
    <w:p>
      <w:pPr>
        <w:pStyle w:val="Heading3"/>
      </w:pPr>
      <w:r>
        <w:t>2.3 Specialized Contributions</w:t>
      </w:r>
    </w:p>
    <w:p>
      <w:r>
        <w:rPr>
          <w:b/>
          <w:i w:val="0"/>
        </w:rPr>
        <w:t>Specialisation: Backend data-management endpoints and data transfer object specification.</w:t>
      </w:r>
    </w:p>
    <w:p>
      <w:r>
        <w:rPr>
          <w:b w:val="0"/>
          <w:i w:val="0"/>
        </w:rPr>
        <w:t>The author implemented the backend endpoints consumed by the administrator planning surface. These include the user directory CRUD across the four user roles (comprising creation, search and filter, block and unblock, re-approval of previously rejected accounts, and the freeze and unfreeze operations on doctor accounts); the rotation plan CRUD (comprising creation, editing, and deletion of the plan record and its associated per-day assignments); and the doctor group CRUD (comprising group creation, member addition and removal, supervisor addition and removal, and the processing of group join requests). Each endpoint validates incoming requests via a class-validator data transfer object configured with whitelist and forbidNonWhitelisted enforcement enabled; resides behind the appropriate authorisation guard; and executes within a Prisma transaction when the operation requires modification of multiple records. The bulk semester-cohort progression endpoint is illustrative of the latter pattern: a single administrative action rewrites the semester pointer for every doctor within a group atomically.</w:t>
      </w:r>
    </w:p>
    <w:p>
      <w:pPr>
        <w:pStyle w:val="Heading3"/>
      </w:pPr>
      <w:r>
        <w:t>2.4 Initiative and Reliability</w:t>
      </w:r>
    </w:p>
    <w:p>
      <w:r>
        <w:rPr>
          <w:b w:val="0"/>
          <w:i w:val="0"/>
        </w:rPr>
        <w:t>The author proposed the scope of the present deliverable, executed it without requiring detailed guidance from the project lead, and reported completion through the project's standard communication channel on the same day as the freeze pass concluded. The deliverable was completed within the originally committed timeframe.</w:t>
      </w:r>
    </w:p>
    <w:p>
      <w:r>
        <w:rPr>
          <w:b w:val="0"/>
          <w:i w:val="0"/>
        </w:rPr>
        <w:t>Reliability is documented by the sign-off message posted at the conclusion of the freeze pass and by the absence of subsequent rework requirements arising from the deliverable.</w:t>
      </w:r>
    </w:p>
    <w:p>
      <w:r>
        <w:br w:type="page"/>
      </w:r>
    </w:p>
    <w:p>
      <w:pPr>
        <w:pStyle w:val="Heading2"/>
      </w:pPr>
      <w:r>
        <w:t>CHAPTER 3: Conclusion and Results</w:t>
      </w:r>
    </w:p>
    <w:p>
      <w:r>
        <w:rPr>
          <w:b w:val="0"/>
          <w:i w:val="0"/>
        </w:rPr>
        <w:t>The endpoints authored by the author constitute the data-management layer upon which the administrator workspace depends. They appear in the Appendix C API catalogue of the group report under the AdminController and SupervisorController owners, and are validated by test cases TC-05 (administrator approval of a doctor account) and TC-30 (administrator use of the Add-case deep-link shortcut). While these endpoints are not individually visible to end users, they constitute the infrastructure that renders the administrator role operationally useful.</w:t>
      </w:r>
    </w:p>
    <w:p>
      <w:r>
        <w:rPr>
          <w:b w:val="0"/>
          <w:i w:val="0"/>
        </w:rPr>
        <w:t>Considered in the wider context of the project, DentyHub constitutes a four-role platform encompassing the full case lifecycle from patient request to supervisor-approved case report, augmented by a patient engagement layer (streak, badges, six arcade games, and a daily trivia quiz) and complete English and Arabic localisation with right-to-left presentation on every patient-facing screen. The author's deliverable integrates into this wider system as one verifiable thread of contribution; the full system documentation appears in Chapters 1 through 5 and the twelve appendices of the group report.</w:t>
      </w:r>
    </w:p>
    <w:p>
      <w:r>
        <w:rPr>
          <w:b w:val="0"/>
          <w:i w:val="0"/>
        </w:rPr>
        <w:t>The most significant result the author identifies for personal carry-forward is the experience of taking sole responsibility for a defined component of a real system. This experience differs from coursework in that the deliverable will be examined by a panel and may subsequently be used in production. Awareness of this downstream consumption altered the author's working standard during execution and constitutes the principal professional skill developed through participation in the project.</w:t>
      </w:r>
    </w:p>
    <w:p>
      <w:r>
        <w:rPr>
          <w:b w:val="0"/>
          <w:i w:val="0"/>
        </w:rPr>
        <w:t>The author gratefully acknowledges Dr. Zakarea M. Al Shara'a for the project supervision; Omar Mohammed Subhi Al Shamali for the technical leadership of the team and the codebase; and the remaining team members for their respective contributions, which are documented in their individual reflection reports.</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