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Why Sprint 12F Is Needed</w:t>
      </w:r>
    </w:p>
    <w:p>
      <w:pPr>
        <w:spacing w:after="400"/>
      </w:pPr>
      <w:r>
        <w:rPr>
          <w:rFonts w:ascii="Calibri" w:cs="Calibri" w:eastAsia="Calibri" w:hAnsi="Calibri"/>
          <w:i/>
          <w:iCs/>
          <w:color w:val="44546A"/>
          <w:sz w:val="24"/>
          <w:szCs w:val="24"/>
        </w:rPr>
        <w:t xml:space="preserve">EnterpriseInventory API — Authorization Precedence Defect &amp; Remediation</w:t>
      </w:r>
    </w:p>
    <w:p>
      <w:pPr>
        <w:pStyle w:val="Heading1"/>
        <w:spacing w:after="150" w:before="300"/>
      </w:pPr>
      <w:r>
        <w:t xml:space="preserve">1. One-Sentence Summary</w:t>
      </w:r>
    </w:p>
    <w:p>
      <w:pPr>
        <w:spacing w:after="160"/>
      </w:pPr>
      <w:r>
        <w:rPr>
          <w:rFonts w:ascii="Calibri" w:cs="Calibri" w:eastAsia="Calibri" w:hAnsi="Calibri"/>
          <w:b w:val="false"/>
          <w:bCs w:val="false"/>
          <w:i w:val="false"/>
          <w:iCs w:val="false"/>
          <w:sz w:val="22"/>
          <w:szCs w:val="22"/>
        </w:rPr>
        <w:t xml:space="preserve">Sprint 12E shipped the ability to create user-specific Allow/Deny permission overrides, but nothing in the current codebase actually applies those overrides when a user logs in — meaning Deny overrides silently do not work, and Sprint 12F exists to fix that, not just to add reporting endpoints.</w:t>
      </w:r>
    </w:p>
    <w:p>
      <w:pPr>
        <w:pStyle w:val="Heading1"/>
        <w:spacing w:after="150" w:before="300"/>
      </w:pPr>
      <w:r>
        <w:t xml:space="preserve">2. The Defect, in Your Own Code</w:t>
      </w:r>
    </w:p>
    <w:p>
      <w:pPr>
        <w:spacing w:after="160"/>
      </w:pPr>
      <w:r>
        <w:rPr>
          <w:rFonts w:ascii="Calibri" w:cs="Calibri" w:eastAsia="Calibri" w:hAnsi="Calibri"/>
          <w:b w:val="false"/>
          <w:bCs w:val="false"/>
          <w:i w:val="false"/>
          <w:iCs w:val="false"/>
          <w:sz w:val="22"/>
          <w:szCs w:val="22"/>
        </w:rPr>
        <w:t xml:space="preserve">Every authorization decision in the app follows this path:</w:t>
      </w:r>
    </w:p>
    <w:p>
      <w:pPr>
        <w:pStyle w:val="ListParagraph"/>
        <w:numPr>
          <w:ilvl w:val="0"/>
          <w:numId w:val="2"/>
        </w:numPr>
        <w:spacing w:after="80"/>
      </w:pPr>
      <w:r>
        <w:rPr>
          <w:rFonts w:ascii="Calibri" w:cs="Calibri" w:eastAsia="Calibri" w:hAnsi="Calibri"/>
          <w:sz w:val="22"/>
          <w:szCs w:val="22"/>
        </w:rPr>
        <w:t xml:space="preserve">Login → AuthService.LoginAsync()</w:t>
      </w:r>
    </w:p>
    <w:p>
      <w:pPr>
        <w:pStyle w:val="ListParagraph"/>
        <w:numPr>
          <w:ilvl w:val="0"/>
          <w:numId w:val="2"/>
        </w:numPr>
        <w:spacing w:after="80"/>
      </w:pPr>
      <w:r>
        <w:rPr>
          <w:rFonts w:ascii="Calibri" w:cs="Calibri" w:eastAsia="Calibri" w:hAnsi="Calibri"/>
          <w:sz w:val="22"/>
          <w:szCs w:val="22"/>
        </w:rPr>
        <w:t xml:space="preserve">→ UserRepository.GetPermissionsAsync(userId)  — builds the list of permission names for the JWT</w:t>
      </w:r>
    </w:p>
    <w:p>
      <w:pPr>
        <w:pStyle w:val="ListParagraph"/>
        <w:numPr>
          <w:ilvl w:val="0"/>
          <w:numId w:val="2"/>
        </w:numPr>
        <w:spacing w:after="80"/>
      </w:pPr>
      <w:r>
        <w:rPr>
          <w:rFonts w:ascii="Calibri" w:cs="Calibri" w:eastAsia="Calibri" w:hAnsi="Calibri"/>
          <w:sz w:val="22"/>
          <w:szCs w:val="22"/>
        </w:rPr>
        <w:t xml:space="preserve">→ JwtTokenGenerator.GenerateToken()  — embeds that list as "permission" claims</w:t>
      </w:r>
    </w:p>
    <w:p>
      <w:pPr>
        <w:pStyle w:val="ListParagraph"/>
        <w:numPr>
          <w:ilvl w:val="0"/>
          <w:numId w:val="2"/>
        </w:numPr>
        <w:spacing w:after="80"/>
      </w:pPr>
      <w:r>
        <w:rPr>
          <w:rFonts w:ascii="Calibri" w:cs="Calibri" w:eastAsia="Calibri" w:hAnsi="Calibri"/>
          <w:sz w:val="22"/>
          <w:szCs w:val="22"/>
        </w:rPr>
        <w:t xml:space="preserve">→ PermissionAuthorizationHandler  — checks the JWT claims on every [HasPermission] request</w:t>
      </w:r>
    </w:p>
    <w:p>
      <w:pPr>
        <w:spacing w:after="160"/>
      </w:pPr>
      <w:r>
        <w:rPr>
          <w:rFonts w:ascii="Calibri" w:cs="Calibri" w:eastAsia="Calibri" w:hAnsi="Calibri"/>
          <w:b w:val="false"/>
          <w:bCs w:val="false"/>
          <w:i w:val="false"/>
          <w:iCs w:val="false"/>
          <w:sz w:val="22"/>
          <w:szCs w:val="22"/>
        </w:rPr>
        <w:t xml:space="preserve">The defect is in the second step. Here is the exact method, unchanged from your repository: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public async Task&lt;IReadOnlyCollection&lt;string&gt;&gt; GetPermissionsAsync(int userId)</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return await _context.UserRoles</w:t>
      </w:r>
      <w:r>
        <w:br/>
      </w:r>
      <w:r>
        <w:rPr>
          <w:rFonts w:ascii="Consolas" w:cs="Consolas" w:eastAsia="Consolas" w:hAnsi="Consolas"/>
          <w:sz w:val="19"/>
          <w:szCs w:val="19"/>
        </w:rPr>
        <w:t xml:space="preserve">        .Where(ur =&gt; ur.UserId == userId)</w:t>
      </w:r>
      <w:r>
        <w:br/>
      </w:r>
      <w:r>
        <w:rPr>
          <w:rFonts w:ascii="Consolas" w:cs="Consolas" w:eastAsia="Consolas" w:hAnsi="Consolas"/>
          <w:sz w:val="19"/>
          <w:szCs w:val="19"/>
        </w:rPr>
        <w:t xml:space="preserve">        .SelectMany(ur =&gt; ur.Role.RolePermissions)</w:t>
      </w:r>
      <w:r>
        <w:br/>
      </w:r>
      <w:r>
        <w:rPr>
          <w:rFonts w:ascii="Consolas" w:cs="Consolas" w:eastAsia="Consolas" w:hAnsi="Consolas"/>
          <w:sz w:val="19"/>
          <w:szCs w:val="19"/>
        </w:rPr>
        <w:t xml:space="preserve">        .Select(rp =&gt; rp.Permission.Name)</w:t>
      </w:r>
      <w:r>
        <w:br/>
      </w:r>
      <w:r>
        <w:rPr>
          <w:rFonts w:ascii="Consolas" w:cs="Consolas" w:eastAsia="Consolas" w:hAnsi="Consolas"/>
          <w:sz w:val="19"/>
          <w:szCs w:val="19"/>
        </w:rPr>
        <w:t xml:space="preserve">        .Distinct()</w:t>
      </w:r>
      <w:r>
        <w:br/>
      </w:r>
      <w:r>
        <w:rPr>
          <w:rFonts w:ascii="Consolas" w:cs="Consolas" w:eastAsia="Consolas" w:hAnsi="Consolas"/>
          <w:sz w:val="19"/>
          <w:szCs w:val="19"/>
        </w:rPr>
        <w:t xml:space="preserve">        .ToListAsync();</w:t>
      </w:r>
      <w:r>
        <w:br/>
      </w:r>
      <w:r>
        <w:rPr>
          <w:rFonts w:ascii="Consolas" w:cs="Consolas" w:eastAsia="Consolas" w:hAnsi="Consolas"/>
          <w:sz w:val="19"/>
          <w:szCs w:val="19"/>
        </w:rPr>
        <w:t xml:space="preserve">}</w:t>
      </w:r>
    </w:p>
    <w:p>
      <w:pPr>
        <w:spacing w:after="160"/>
      </w:pPr>
      <w:r>
        <w:rPr>
          <w:rFonts w:ascii="Calibri" w:cs="Calibri" w:eastAsia="Calibri" w:hAnsi="Calibri"/>
          <w:b w:val="false"/>
          <w:bCs w:val="false"/>
          <w:i w:val="false"/>
          <w:iCs w:val="false"/>
          <w:sz w:val="22"/>
          <w:szCs w:val="22"/>
        </w:rPr>
        <w:t xml:space="preserve">This method walks User → UserRole → RolePermission → Permission only. It never queries the UserPermission table at all — the exact table Sprint 12E built to store Allow/Deny overrides. The override rows are written to the database correctly by UserPermissionsController, but they are never read back into the authorization decision.</w:t>
      </w:r>
    </w:p>
    <w:p>
      <w:pPr>
        <w:pStyle w:val="Heading1"/>
        <w:spacing w:after="150" w:before="300"/>
      </w:pPr>
      <w:r>
        <w:t xml:space="preserve">3. Why This Matters — Concrete Scenario</w:t>
      </w:r>
    </w:p>
    <w:p>
      <w:pPr>
        <w:spacing w:after="160"/>
      </w:pPr>
      <w:r>
        <w:rPr>
          <w:rFonts w:ascii="Calibri" w:cs="Calibri" w:eastAsia="Calibri" w:hAnsi="Calibri"/>
          <w:b w:val="false"/>
          <w:bCs w:val="false"/>
          <w:i w:val="false"/>
          <w:iCs w:val="false"/>
          <w:sz w:val="22"/>
          <w:szCs w:val="22"/>
        </w:rPr>
        <w:t xml:space="preserve">Using the example already documented in the Sprint 12F planning doc:</w:t>
      </w:r>
    </w:p>
    <w:p>
      <w:pPr>
        <w:pStyle w:val="ListParagraph"/>
        <w:numPr>
          <w:ilvl w:val="0"/>
          <w:numId w:val="2"/>
        </w:numPr>
        <w:spacing w:after="80"/>
      </w:pPr>
      <w:r>
        <w:rPr>
          <w:rFonts w:ascii="Calibri" w:cs="Calibri" w:eastAsia="Calibri" w:hAnsi="Calibri"/>
          <w:sz w:val="22"/>
          <w:szCs w:val="22"/>
        </w:rPr>
        <w:t xml:space="preserve">User “Dharmendra” has role Admin, which grants User.Delete</w:t>
      </w:r>
    </w:p>
    <w:p>
      <w:pPr>
        <w:pStyle w:val="ListParagraph"/>
        <w:numPr>
          <w:ilvl w:val="0"/>
          <w:numId w:val="2"/>
        </w:numPr>
        <w:spacing w:after="80"/>
      </w:pPr>
      <w:r>
        <w:rPr>
          <w:rFonts w:ascii="Calibri" w:cs="Calibri" w:eastAsia="Calibri" w:hAnsi="Calibri"/>
          <w:sz w:val="22"/>
          <w:szCs w:val="22"/>
        </w:rPr>
        <w:t xml:space="preserve">A user-specific override is created: Deny → User.Delete</w:t>
      </w:r>
    </w:p>
    <w:p>
      <w:pPr>
        <w:pStyle w:val="ListParagraph"/>
        <w:numPr>
          <w:ilvl w:val="0"/>
          <w:numId w:val="2"/>
        </w:numPr>
        <w:spacing w:after="80"/>
      </w:pPr>
      <w:r>
        <w:rPr>
          <w:rFonts w:ascii="Calibri" w:cs="Calibri" w:eastAsia="Calibri" w:hAnsi="Calibri"/>
          <w:sz w:val="22"/>
          <w:szCs w:val="22"/>
        </w:rPr>
        <w:t xml:space="preserve">Expected result per the precedence rule: User.Delete is DENIED</w:t>
      </w:r>
    </w:p>
    <w:p>
      <w:pPr>
        <w:pStyle w:val="ListParagraph"/>
        <w:numPr>
          <w:ilvl w:val="0"/>
          <w:numId w:val="2"/>
        </w:numPr>
        <w:spacing w:after="80"/>
      </w:pPr>
      <w:r>
        <w:rPr>
          <w:rFonts w:ascii="Calibri" w:cs="Calibri" w:eastAsia="Calibri" w:hAnsi="Calibri"/>
          <w:sz w:val="22"/>
          <w:szCs w:val="22"/>
        </w:rPr>
        <w:t xml:space="preserve">Actual result today: User.Delete is still ALLOWED, because GetPermissionsAsync never looked at the override</w:t>
      </w:r>
    </w:p>
    <w:p>
      <w:pPr>
        <w:spacing w:after="160"/>
      </w:pPr>
      <w:r>
        <w:rPr>
          <w:rFonts w:ascii="Calibri" w:cs="Calibri" w:eastAsia="Calibri" w:hAnsi="Calibri"/>
          <w:b w:val="false"/>
          <w:bCs w:val="false"/>
          <w:i w:val="false"/>
          <w:iCs w:val="false"/>
          <w:sz w:val="22"/>
          <w:szCs w:val="22"/>
        </w:rPr>
        <w:t xml:space="preserve">This is not a theoretical edge case — it is the primary use case the override feature was built for (revoking one specific dangerous permission from an otherwise-privileged user). It currently does not work.</w:t>
      </w:r>
    </w:p>
    <w:p>
      <w:pPr>
        <w:pStyle w:val="Heading1"/>
        <w:spacing w:after="150" w:before="300"/>
      </w:pPr>
      <w:r>
        <w:t xml:space="preserve">4. Impact Table — Precedence Rule vs. Current Behaviour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400"/>
      </w:tblGrid>
      <w:tr>
        <w:trPr>
          <w:tblHeader/>
        </w:trPr>
        <w:tc>
          <w:tcPr>
            <w:tcW w:type="dxa" w:w="2600"/>
            <w:shd w:fill="1F3864" w:val="clear"/>
          </w:tcPr>
          <w:p>
            <w:r>
              <w:rPr>
                <w:rFonts w:ascii="Calibri" w:cs="Calibri" w:eastAsia="Calibri" w:hAnsi="Calibri"/>
                <w:b/>
                <w:bCs/>
                <w:color w:val="FFFFFF"/>
                <w:sz w:val="20"/>
                <w:szCs w:val="20"/>
              </w:rPr>
              <w:t xml:space="preserve">Role Permission</w:t>
            </w:r>
          </w:p>
        </w:tc>
        <w:tc>
          <w:tcPr>
            <w:tcW w:type="dxa" w:w="2600"/>
            <w:shd w:fill="1F3864" w:val="clear"/>
          </w:tcPr>
          <w:p>
            <w:r>
              <w:rPr>
                <w:rFonts w:ascii="Calibri" w:cs="Calibri" w:eastAsia="Calibri" w:hAnsi="Calibri"/>
                <w:b/>
                <w:bCs/>
                <w:color w:val="FFFFFF"/>
                <w:sz w:val="20"/>
                <w:szCs w:val="20"/>
              </w:rPr>
              <w:t xml:space="preserve">User Override</w:t>
            </w:r>
          </w:p>
        </w:tc>
        <w:tc>
          <w:tcPr>
            <w:tcW w:type="dxa" w:w="2600"/>
            <w:shd w:fill="1F3864" w:val="clear"/>
          </w:tcPr>
          <w:p>
            <w:r>
              <w:rPr>
                <w:rFonts w:ascii="Calibri" w:cs="Calibri" w:eastAsia="Calibri" w:hAnsi="Calibri"/>
                <w:b/>
                <w:bCs/>
                <w:color w:val="FFFFFF"/>
                <w:sz w:val="20"/>
                <w:szCs w:val="20"/>
              </w:rPr>
              <w:t xml:space="preserve">Effective Result (per precedence rule)</w:t>
            </w:r>
          </w:p>
        </w:tc>
        <w:tc>
          <w:tcPr>
            <w:tcW w:type="dxa" w:w="2400"/>
            <w:shd w:fill="1F3864" w:val="clear"/>
          </w:tcPr>
          <w:p>
            <w:r>
              <w:rPr>
                <w:rFonts w:ascii="Calibri" w:cs="Calibri" w:eastAsia="Calibri" w:hAnsi="Calibri"/>
                <w:b/>
                <w:bCs/>
                <w:color w:val="FFFFFF"/>
                <w:sz w:val="20"/>
                <w:szCs w:val="20"/>
              </w:rPr>
              <w:t xml:space="preserve">What happens TODAY in your code</w:t>
            </w:r>
          </w:p>
        </w:tc>
      </w:tr>
      <w:tr>
        <w:tc>
          <w:tcPr>
            <w:tcW w:type="dxa" w:w="2600"/>
          </w:tcPr>
          <w:p>
            <w:r>
              <w:rPr>
                <w:rFonts w:ascii="Calibri" w:cs="Calibri" w:eastAsia="Calibri" w:hAnsi="Calibri"/>
                <w:b w:val="false"/>
                <w:bCs w:val="false"/>
                <w:color w:val="000000"/>
                <w:sz w:val="20"/>
                <w:szCs w:val="20"/>
              </w:rPr>
              <w:t xml:space="preserve">Allow</w:t>
            </w:r>
          </w:p>
        </w:tc>
        <w:tc>
          <w:tcPr>
            <w:tcW w:type="dxa" w:w="2600"/>
          </w:tcPr>
          <w:p>
            <w:r>
              <w:rPr>
                <w:rFonts w:ascii="Calibri" w:cs="Calibri" w:eastAsia="Calibri" w:hAnsi="Calibri"/>
                <w:b w:val="false"/>
                <w:bCs w:val="false"/>
                <w:color w:val="000000"/>
                <w:sz w:val="20"/>
                <w:szCs w:val="20"/>
              </w:rPr>
              <w:t xml:space="preserve">None</w:t>
            </w:r>
          </w:p>
        </w:tc>
        <w:tc>
          <w:tcPr>
            <w:tcW w:type="dxa" w:w="2600"/>
          </w:tcPr>
          <w:p>
            <w:r>
              <w:rPr>
                <w:rFonts w:ascii="Calibri" w:cs="Calibri" w:eastAsia="Calibri" w:hAnsi="Calibri"/>
                <w:b w:val="false"/>
                <w:bCs w:val="false"/>
                <w:color w:val="000000"/>
                <w:sz w:val="20"/>
                <w:szCs w:val="20"/>
              </w:rPr>
              <w:t xml:space="preserve">ALLOW</w:t>
            </w:r>
          </w:p>
        </w:tc>
        <w:tc>
          <w:tcPr>
            <w:tcW w:type="dxa" w:w="2400"/>
          </w:tcPr>
          <w:p>
            <w:r>
              <w:rPr>
                <w:rFonts w:ascii="Calibri" w:cs="Calibri" w:eastAsia="Calibri" w:hAnsi="Calibri"/>
                <w:b w:val="false"/>
                <w:bCs w:val="false"/>
                <w:color w:val="000000"/>
                <w:sz w:val="20"/>
                <w:szCs w:val="20"/>
              </w:rPr>
              <w:t xml:space="preserve">ALLOW (correct)</w:t>
            </w:r>
          </w:p>
        </w:tc>
      </w:tr>
      <w:tr>
        <w:tc>
          <w:tcPr>
            <w:tcW w:type="dxa" w:w="2600"/>
          </w:tcPr>
          <w:p>
            <w:r>
              <w:rPr>
                <w:rFonts w:ascii="Calibri" w:cs="Calibri" w:eastAsia="Calibri" w:hAnsi="Calibri"/>
                <w:b w:val="false"/>
                <w:bCs w:val="false"/>
                <w:color w:val="000000"/>
                <w:sz w:val="20"/>
                <w:szCs w:val="20"/>
              </w:rPr>
              <w:t xml:space="preserve">Allow</w:t>
            </w:r>
          </w:p>
        </w:tc>
        <w:tc>
          <w:tcPr>
            <w:tcW w:type="dxa" w:w="2600"/>
          </w:tcPr>
          <w:p>
            <w:r>
              <w:rPr>
                <w:rFonts w:ascii="Calibri" w:cs="Calibri" w:eastAsia="Calibri" w:hAnsi="Calibri"/>
                <w:b w:val="false"/>
                <w:bCs w:val="false"/>
                <w:color w:val="000000"/>
                <w:sz w:val="20"/>
                <w:szCs w:val="20"/>
              </w:rPr>
              <w:t xml:space="preserve">Deny</w:t>
            </w:r>
          </w:p>
        </w:tc>
        <w:tc>
          <w:tcPr>
            <w:tcW w:type="dxa" w:w="2600"/>
          </w:tcPr>
          <w:p>
            <w:r>
              <w:rPr>
                <w:rFonts w:ascii="Calibri" w:cs="Calibri" w:eastAsia="Calibri" w:hAnsi="Calibri"/>
                <w:b w:val="false"/>
                <w:bCs w:val="false"/>
                <w:color w:val="000000"/>
                <w:sz w:val="20"/>
                <w:szCs w:val="20"/>
              </w:rPr>
              <w:t xml:space="preserve">DENY</w:t>
            </w:r>
          </w:p>
        </w:tc>
        <w:tc>
          <w:tcPr>
            <w:tcW w:type="dxa" w:w="2400"/>
          </w:tcPr>
          <w:p>
            <w:r>
              <w:rPr>
                <w:rFonts w:ascii="Calibri" w:cs="Calibri" w:eastAsia="Calibri" w:hAnsi="Calibri"/>
                <w:b w:val="false"/>
                <w:bCs w:val="false"/>
                <w:color w:val="000000"/>
                <w:sz w:val="20"/>
                <w:szCs w:val="20"/>
              </w:rPr>
              <w:t xml:space="preserve">ALLOW (WRONG — override ignored)</w:t>
            </w:r>
          </w:p>
        </w:tc>
      </w:tr>
      <w:tr>
        <w:tc>
          <w:tcPr>
            <w:tcW w:type="dxa" w:w="2600"/>
          </w:tcPr>
          <w:p>
            <w:r>
              <w:rPr>
                <w:rFonts w:ascii="Calibri" w:cs="Calibri" w:eastAsia="Calibri" w:hAnsi="Calibri"/>
                <w:b w:val="false"/>
                <w:bCs w:val="false"/>
                <w:color w:val="000000"/>
                <w:sz w:val="20"/>
                <w:szCs w:val="20"/>
              </w:rPr>
              <w:t xml:space="preserve">None</w:t>
            </w:r>
          </w:p>
        </w:tc>
        <w:tc>
          <w:tcPr>
            <w:tcW w:type="dxa" w:w="2600"/>
          </w:tcPr>
          <w:p>
            <w:r>
              <w:rPr>
                <w:rFonts w:ascii="Calibri" w:cs="Calibri" w:eastAsia="Calibri" w:hAnsi="Calibri"/>
                <w:b w:val="false"/>
                <w:bCs w:val="false"/>
                <w:color w:val="000000"/>
                <w:sz w:val="20"/>
                <w:szCs w:val="20"/>
              </w:rPr>
              <w:t xml:space="preserve">Allow</w:t>
            </w:r>
          </w:p>
        </w:tc>
        <w:tc>
          <w:tcPr>
            <w:tcW w:type="dxa" w:w="2600"/>
          </w:tcPr>
          <w:p>
            <w:r>
              <w:rPr>
                <w:rFonts w:ascii="Calibri" w:cs="Calibri" w:eastAsia="Calibri" w:hAnsi="Calibri"/>
                <w:b w:val="false"/>
                <w:bCs w:val="false"/>
                <w:color w:val="000000"/>
                <w:sz w:val="20"/>
                <w:szCs w:val="20"/>
              </w:rPr>
              <w:t xml:space="preserve">ALLOW</w:t>
            </w:r>
          </w:p>
        </w:tc>
        <w:tc>
          <w:tcPr>
            <w:tcW w:type="dxa" w:w="2400"/>
          </w:tcPr>
          <w:p>
            <w:r>
              <w:rPr>
                <w:rFonts w:ascii="Calibri" w:cs="Calibri" w:eastAsia="Calibri" w:hAnsi="Calibri"/>
                <w:b w:val="false"/>
                <w:bCs w:val="false"/>
                <w:color w:val="000000"/>
                <w:sz w:val="20"/>
                <w:szCs w:val="20"/>
              </w:rPr>
              <w:t xml:space="preserve">DENY (WRONG — override ignored)</w:t>
            </w:r>
          </w:p>
        </w:tc>
      </w:tr>
      <w:tr>
        <w:tc>
          <w:tcPr>
            <w:tcW w:type="dxa" w:w="2600"/>
          </w:tcPr>
          <w:p>
            <w:r>
              <w:rPr>
                <w:rFonts w:ascii="Calibri" w:cs="Calibri" w:eastAsia="Calibri" w:hAnsi="Calibri"/>
                <w:b w:val="false"/>
                <w:bCs w:val="false"/>
                <w:color w:val="000000"/>
                <w:sz w:val="20"/>
                <w:szCs w:val="20"/>
              </w:rPr>
              <w:t xml:space="preserve">None</w:t>
            </w:r>
          </w:p>
        </w:tc>
        <w:tc>
          <w:tcPr>
            <w:tcW w:type="dxa" w:w="2600"/>
          </w:tcPr>
          <w:p>
            <w:r>
              <w:rPr>
                <w:rFonts w:ascii="Calibri" w:cs="Calibri" w:eastAsia="Calibri" w:hAnsi="Calibri"/>
                <w:b w:val="false"/>
                <w:bCs w:val="false"/>
                <w:color w:val="000000"/>
                <w:sz w:val="20"/>
                <w:szCs w:val="20"/>
              </w:rPr>
              <w:t xml:space="preserve">None</w:t>
            </w:r>
          </w:p>
        </w:tc>
        <w:tc>
          <w:tcPr>
            <w:tcW w:type="dxa" w:w="2600"/>
          </w:tcPr>
          <w:p>
            <w:r>
              <w:rPr>
                <w:rFonts w:ascii="Calibri" w:cs="Calibri" w:eastAsia="Calibri" w:hAnsi="Calibri"/>
                <w:b w:val="false"/>
                <w:bCs w:val="false"/>
                <w:color w:val="000000"/>
                <w:sz w:val="20"/>
                <w:szCs w:val="20"/>
              </w:rPr>
              <w:t xml:space="preserve">DENY</w:t>
            </w:r>
          </w:p>
        </w:tc>
        <w:tc>
          <w:tcPr>
            <w:tcW w:type="dxa" w:w="2400"/>
          </w:tcPr>
          <w:p>
            <w:r>
              <w:rPr>
                <w:rFonts w:ascii="Calibri" w:cs="Calibri" w:eastAsia="Calibri" w:hAnsi="Calibri"/>
                <w:b w:val="false"/>
                <w:bCs w:val="false"/>
                <w:color w:val="000000"/>
                <w:sz w:val="20"/>
                <w:szCs w:val="20"/>
              </w:rPr>
              <w:t xml:space="preserve">DENY (correct)</w:t>
            </w:r>
          </w:p>
        </w:tc>
      </w:tr>
    </w:tbl>
    <w:p>
      <w:pPr>
        <w:spacing w:after="200"/>
      </w:pPr>
    </w:p>
    <w:p>
      <w:pPr>
        <w:spacing w:after="160"/>
      </w:pPr>
      <w:r>
        <w:rPr>
          <w:rFonts w:ascii="Calibri" w:cs="Calibri" w:eastAsia="Calibri" w:hAnsi="Calibri"/>
          <w:b w:val="false"/>
          <w:bCs w:val="false"/>
          <w:i w:val="false"/>
          <w:iCs w:val="false"/>
          <w:sz w:val="22"/>
          <w:szCs w:val="22"/>
        </w:rPr>
        <w:t xml:space="preserve">Two of four cells in the precedence matrix are wrong in production today. A Deny override on a role-granted permission is silently ignored (security risk — an admin believes access was revoked, but it was not). An Allow override on a permission with no role grant is also ignored (functional bug — an admin believes a user was given access, but they were not).</w:t>
      </w:r>
    </w:p>
    <w:p>
      <w:pPr>
        <w:pStyle w:val="Heading1"/>
        <w:spacing w:after="150" w:before="300"/>
      </w:pPr>
      <w:r>
        <w:t xml:space="preserve">5. Why This Wasn't Caught Earlier</w:t>
      </w:r>
    </w:p>
    <w:p>
      <w:pPr>
        <w:spacing w:after="160"/>
      </w:pPr>
      <w:r>
        <w:rPr>
          <w:rFonts w:ascii="Calibri" w:cs="Calibri" w:eastAsia="Calibri" w:hAnsi="Calibri"/>
          <w:b w:val="false"/>
          <w:bCs w:val="false"/>
          <w:i w:val="false"/>
          <w:iCs w:val="false"/>
          <w:sz w:val="22"/>
          <w:szCs w:val="22"/>
        </w:rPr>
        <w:t xml:space="preserve">Sprint 12E's own scope and test coverage were correctly limited to override storage: creating, updating, deleting, and validating UserPermission records, and preventing duplicates. Nothing in 12E's Definition of Done claimed the overrides were wired into authentication — and they weren't meant to be, since Sprint 12F was already planned as the sprint that introduces effective-permission calculation. The gap is expected at this point in the roadmap, not a regression.</w:t>
      </w:r>
    </w:p>
    <w:p>
      <w:pPr>
        <w:pStyle w:val="Heading1"/>
        <w:spacing w:after="150" w:before="300"/>
      </w:pPr>
      <w:r>
        <w:t xml:space="preserve">6. What Sprint 12F Actually Needs To Deliver</w:t>
      </w:r>
    </w:p>
    <w:p>
      <w:pPr>
        <w:spacing w:after="160"/>
      </w:pPr>
      <w:r>
        <w:rPr>
          <w:rFonts w:ascii="Calibri" w:cs="Calibri" w:eastAsia="Calibri" w:hAnsi="Calibri"/>
          <w:b w:val="false"/>
          <w:bCs w:val="false"/>
          <w:i w:val="false"/>
          <w:iCs w:val="false"/>
          <w:sz w:val="22"/>
          <w:szCs w:val="22"/>
        </w:rPr>
        <w:t xml:space="preserve">The Sprint 12F planning doc frames this sprint primarily as visibility and diagnostics (effective permission API, breakdown API, diagnostic API, audit API). That framing undersells the sprint. The core deliverable that makes everything else meaningful is:</w:t>
      </w:r>
    </w:p>
    <w:p>
      <w:pPr>
        <w:pStyle w:val="ListParagraph"/>
        <w:numPr>
          <w:ilvl w:val="0"/>
          <w:numId w:val="2"/>
        </w:numPr>
        <w:spacing w:after="80"/>
      </w:pPr>
      <w:r>
        <w:rPr>
          <w:rFonts w:ascii="Calibri" w:cs="Calibri" w:eastAsia="Calibri" w:hAnsi="Calibri"/>
          <w:sz w:val="22"/>
          <w:szCs w:val="22"/>
        </w:rPr>
        <w:t xml:space="preserve">A precedence-aware calculation service (User-specific Deny &gt; User-specific Allow &gt; Role-based &gt; No permission)</w:t>
      </w:r>
    </w:p>
    <w:p>
      <w:pPr>
        <w:pStyle w:val="ListParagraph"/>
        <w:numPr>
          <w:ilvl w:val="0"/>
          <w:numId w:val="2"/>
        </w:numPr>
        <w:spacing w:after="80"/>
      </w:pPr>
      <w:r>
        <w:rPr>
          <w:rFonts w:ascii="Calibri" w:cs="Calibri" w:eastAsia="Calibri" w:hAnsi="Calibri"/>
          <w:sz w:val="22"/>
          <w:szCs w:val="22"/>
        </w:rPr>
        <w:t xml:space="preserve">That service's logic replacing the naive role-only query inside GetPermissionsAsync, so the JWT itself reflects the correct effective permissions</w:t>
      </w:r>
    </w:p>
    <w:p>
      <w:pPr>
        <w:spacing w:after="160"/>
      </w:pPr>
      <w:r>
        <w:rPr>
          <w:rFonts w:ascii="Calibri" w:cs="Calibri" w:eastAsia="Calibri" w:hAnsi="Calibri"/>
          <w:b w:val="false"/>
          <w:bCs w:val="false"/>
          <w:i w:val="false"/>
          <w:iCs w:val="false"/>
          <w:sz w:val="22"/>
          <w:szCs w:val="22"/>
        </w:rPr>
        <w:t xml:space="preserve">Once that fix is in place, the four read-only APIs (effective / breakdown / check / audit) become genuinely useful tools for explaining *why* a decision was made — but they are secondary. They explain a calculation; they do not, by themselves, fix the calculation.</w:t>
      </w:r>
    </w:p>
    <w:p>
      <w:pPr>
        <w:pStyle w:val="Heading1"/>
        <w:spacing w:after="150" w:before="300"/>
      </w:pPr>
      <w:r>
        <w:t xml:space="preserve">7. Recommended Framing for the Sprint</w:t>
      </w:r>
    </w:p>
    <w:p>
      <w:pPr>
        <w:spacing w:after="160"/>
      </w:pPr>
      <w:r>
        <w:rPr>
          <w:rFonts w:ascii="Calibri" w:cs="Calibri" w:eastAsia="Calibri" w:hAnsi="Calibri"/>
          <w:b w:val="false"/>
          <w:bCs w:val="false"/>
          <w:i w:val="false"/>
          <w:iCs w:val="false"/>
          <w:sz w:val="22"/>
          <w:szCs w:val="22"/>
        </w:rPr>
        <w:t xml:space="preserve">Split Sprint 12F into two tracks with different urgency:</w:t>
      </w:r>
    </w:p>
    <w:p>
      <w:pPr>
        <w:spacing w:after="100" w:before="100"/>
      </w:pPr>
      <w:r>
        <w:rPr>
          <w:rFonts w:ascii="Calibri" w:cs="Calibri" w:eastAsia="Calibri" w:hAnsi="Calibri"/>
          <w:b/>
          <w:bCs/>
          <w:color w:val="C00000"/>
          <w:sz w:val="22"/>
          <w:szCs w:val="22"/>
        </w:rPr>
        <w:t xml:space="preserve">Track A — Precedence Fix (do first, small and urgent)</w:t>
      </w:r>
    </w:p>
    <w:p>
      <w:pPr>
        <w:pStyle w:val="ListParagraph"/>
        <w:numPr>
          <w:ilvl w:val="0"/>
          <w:numId w:val="2"/>
        </w:numPr>
        <w:spacing w:after="80"/>
      </w:pPr>
      <w:r>
        <w:rPr>
          <w:rFonts w:ascii="Calibri" w:cs="Calibri" w:eastAsia="Calibri" w:hAnsi="Calibri"/>
          <w:sz w:val="22"/>
          <w:szCs w:val="22"/>
        </w:rPr>
        <w:t xml:space="preserve">Add the role+override merge logic (§4 of the implementation plan)</w:t>
      </w:r>
    </w:p>
    <w:p>
      <w:pPr>
        <w:pStyle w:val="ListParagraph"/>
        <w:numPr>
          <w:ilvl w:val="0"/>
          <w:numId w:val="2"/>
        </w:numPr>
        <w:spacing w:after="80"/>
      </w:pPr>
      <w:r>
        <w:rPr>
          <w:rFonts w:ascii="Calibri" w:cs="Calibri" w:eastAsia="Calibri" w:hAnsi="Calibri"/>
          <w:sz w:val="22"/>
          <w:szCs w:val="22"/>
        </w:rPr>
        <w:t xml:space="preserve">Apply it inside GetPermissionsAsync (or an equivalent effective-permission source used at login)</w:t>
      </w:r>
    </w:p>
    <w:p>
      <w:pPr>
        <w:pStyle w:val="ListParagraph"/>
        <w:numPr>
          <w:ilvl w:val="0"/>
          <w:numId w:val="2"/>
        </w:numPr>
        <w:spacing w:after="80"/>
      </w:pPr>
      <w:r>
        <w:rPr>
          <w:rFonts w:ascii="Calibri" w:cs="Calibri" w:eastAsia="Calibri" w:hAnsi="Calibri"/>
          <w:sz w:val="22"/>
          <w:szCs w:val="22"/>
        </w:rPr>
        <w:t xml:space="preserve">Add regression tests covering all 8 rows of the authorization test matrix</w:t>
      </w:r>
    </w:p>
    <w:p>
      <w:pPr>
        <w:pStyle w:val="ListParagraph"/>
        <w:numPr>
          <w:ilvl w:val="0"/>
          <w:numId w:val="2"/>
        </w:numPr>
        <w:spacing w:after="80"/>
      </w:pPr>
      <w:r>
        <w:rPr>
          <w:rFonts w:ascii="Calibri" w:cs="Calibri" w:eastAsia="Calibri" w:hAnsi="Calibri"/>
          <w:sz w:val="22"/>
          <w:szCs w:val="22"/>
        </w:rPr>
        <w:t xml:space="preserve">Ship as its own PR — this is a defect fix on top of Sprint 12E, not new feature scope</w:t>
      </w:r>
    </w:p>
    <w:p>
      <w:pPr>
        <w:spacing w:after="100" w:before="100"/>
      </w:pPr>
      <w:r>
        <w:rPr>
          <w:rFonts w:ascii="Calibri" w:cs="Calibri" w:eastAsia="Calibri" w:hAnsi="Calibri"/>
          <w:b/>
          <w:bCs/>
          <w:color w:val="2E7D32"/>
          <w:sz w:val="22"/>
          <w:szCs w:val="22"/>
        </w:rPr>
        <w:t xml:space="preserve">Track B — Diagnostic APIs (optional, lower priority, do later)</w:t>
      </w:r>
    </w:p>
    <w:p>
      <w:pPr>
        <w:pStyle w:val="ListParagraph"/>
        <w:numPr>
          <w:ilvl w:val="0"/>
          <w:numId w:val="2"/>
        </w:numPr>
        <w:spacing w:after="80"/>
      </w:pPr>
      <w:r>
        <w:rPr>
          <w:rFonts w:ascii="Calibri" w:cs="Calibri" w:eastAsia="Calibri" w:hAnsi="Calibri"/>
          <w:sz w:val="22"/>
          <w:szCs w:val="22"/>
        </w:rPr>
        <w:t xml:space="preserve">GET /permissions/effective, /breakdown, /check, /audit</w:t>
      </w:r>
    </w:p>
    <w:p>
      <w:pPr>
        <w:pStyle w:val="ListParagraph"/>
        <w:numPr>
          <w:ilvl w:val="0"/>
          <w:numId w:val="2"/>
        </w:numPr>
        <w:spacing w:after="80"/>
      </w:pPr>
      <w:r>
        <w:rPr>
          <w:rFonts w:ascii="Calibri" w:cs="Calibri" w:eastAsia="Calibri" w:hAnsi="Calibri"/>
          <w:sz w:val="22"/>
          <w:szCs w:val="22"/>
        </w:rPr>
        <w:t xml:space="preserve">Build only if/when an admin UI or support workflow needs to explain permission decisions to a human</w:t>
      </w:r>
    </w:p>
    <w:p>
      <w:pPr>
        <w:pStyle w:val="ListParagraph"/>
        <w:numPr>
          <w:ilvl w:val="0"/>
          <w:numId w:val="2"/>
        </w:numPr>
        <w:spacing w:after="80"/>
      </w:pPr>
      <w:r>
        <w:rPr>
          <w:rFonts w:ascii="Calibri" w:cs="Calibri" w:eastAsia="Calibri" w:hAnsi="Calibri"/>
          <w:sz w:val="22"/>
          <w:szCs w:val="22"/>
        </w:rPr>
        <w:t xml:space="preserve">No user-facing authorization behaviour depends on these endpoints existing</w:t>
      </w:r>
    </w:p>
    <w:p>
      <w:pPr>
        <w:pStyle w:val="Heading1"/>
        <w:spacing w:after="150" w:before="300"/>
      </w:pPr>
      <w:r>
        <w:t xml:space="preserve">8. Definition of Done for This Sprint</w:t>
      </w:r>
    </w:p>
    <w:p>
      <w:pPr>
        <w:spacing w:after="160"/>
      </w:pPr>
      <w:r>
        <w:rPr>
          <w:rFonts w:ascii="Calibri" w:cs="Calibri" w:eastAsia="Calibri" w:hAnsi="Calibri"/>
          <w:b w:val="false"/>
          <w:bCs w:val="false"/>
          <w:i w:val="false"/>
          <w:iCs w:val="false"/>
          <w:sz w:val="22"/>
          <w:szCs w:val="22"/>
        </w:rPr>
        <w:t xml:space="preserve">Sprint 12F (Track A) is done when: a Deny override on a role-granted permission actually removes that permission from the user's JWT and blocks the protected endpoint, and an Allow override on a permission with no role grant actually adds it. That is the behaviour Sprint 12E was always meant to enable.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2026-08-09T03:27:52.684Z</dcterms:created>
  <dcterms:modified xsi:type="dcterms:W3CDTF">2026-08-09T03:27:52.697Z</dcterms:modified>
</cp:coreProperties>
</file>

<file path=docProps/custom.xml><?xml version="1.0" encoding="utf-8"?>
<Properties xmlns="http://schemas.openxmlformats.org/officeDocument/2006/custom-properties" xmlns:vt="http://schemas.openxmlformats.org/officeDocument/2006/docPropsVTypes"/>
</file>