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2c4bb44868d4a34" /></Relationships>
</file>

<file path=word/document.xml><?xml version="1.0" encoding="utf-8"?>
<w:document xmlns:w="http://schemas.openxmlformats.org/wordprocessingml/2006/main">
  <w:body>
    <w:p>
      <w:pPr>
        <w:spacing w:after="120"/>
        <w:jc w:val="center"/>
      </w:pPr>
      <w:r>
        <w:rPr>
          <w:b/>
          <w:sz w:val="34"/>
          <w:rFonts w:ascii="Calibri" w:hAnsi="Calibri"/>
        </w:rPr>
        <w:t>Звіт з лабораторної роботи № 1</w:t>
      </w:r>
    </w:p>
    <w:p>
      <w:r>
        <w:rPr>
          <w:b/>
          <w:sz w:val="22"/>
          <w:rFonts w:ascii="Calibri" w:hAnsi="Calibri"/>
        </w:rPr>
        <w:t xml:space="preserve">Запуск, дослідження та невелике розширення готової вебсистеми</w:t>
      </w:r>
    </w:p>
    <w:p/>
    <w:tbl>
      <w:tblPr>
        <w:tblStyle w:val="TableGrid"/>
        <w:tblW w:w="9400" w:type="dxa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500"/>
        <w:gridCol w:w="6900"/>
      </w:tblGrid>
      <w:tr>
        <w:tc>
          <w:tcPr>
            <w:tcW w:w="25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Параметр</w:t>
            </w:r>
          </w:p>
        </w:tc>
        <w:tc>
          <w:tcPr>
            <w:tcW w:w="69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Значення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Дисципліна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Прикладні технології програмування в інформаційній безпеці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Варіант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baseline 2-A «Трекер інцидентів» (єдиний для потоку)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Робоча гілка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lab/1-system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Основна гілка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main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Фінальний тег → commit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v0.1.0  →  a2898d7c98a8d36640cdc17479352fa0972229f2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Стартовий стан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тег starter-v0.1.0  →  d3ddeb5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Репозиторій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github.com/1307egor-commits/securelab-lab1</w:t>
            </w:r>
          </w:p>
        </w:tc>
      </w:tr>
    </w:tbl>
    <w:p/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Умови виконання (відхилення від методички)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Стартовий приватний репозиторій викладача був недоступний, тому проєкт SecureLab.Api (клієнт, API, EF Core, seed/reset, тести) відтворено з нуля за описом у методичці; контракти, імена файлів/класів, seed з фіксованими UUID і порти збережено.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.NET SDK на стенді — лише 10.0.400 (смуга 10.0.4xx); методичка вимагає 10.0.3xx. global.json припнято до 10.0.400 (rollForward: latestMinor). На контракт коду не впливає.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Docker Desktop на стенді не запускає рушій (вимкнена апаратна віртуалізація AMD SVM у BIOS + вимкнені компоненти Windows VirtualMachinePlatform/WSL2; після їх увімкнення й установлення ядра WSL2 рушій усе одно не піднімається — імовірний конфлікт із наявними VMware Workstation і VirtualBox). Тому PostgreSQL 17.6 піднято локально з портативних бінарників. Порт 54329, БД і користувач securelab, відкритий навчальний пароль local-study-password, рядок підключення — ті самі, що в infra/compose.yaml (файл збережено в репозиторії для штатного сценарію Docker).</w:t>
      </w:r>
    </w:p>
    <w:p>
      <w:pPr>
        <w:spacing w:before="260" w:after="90"/>
        <w:pBdr>
          <w:bottom w:val="single" w:color="888888" w:sz="6" w:space="2"/>
        </w:pBdr>
      </w:pPr>
      <w:r>
        <w:rPr>
          <w:b/>
          <w:sz w:val="27"/>
          <w:rFonts w:ascii="Calibri" w:hAnsi="Calibri"/>
          <w:color w:val="1F3864"/>
        </w:rPr>
        <w:t>Етап 1. Підготовка середовища та запуск системи</w:t>
      </w:r>
    </w:p>
    <w:p>
      <w:r>
        <w:rPr>
          <w:b/>
          <w:sz w:val="21"/>
          <w:rFonts w:ascii="Calibri" w:hAnsi="Calibri"/>
        </w:rPr>
        <w:t xml:space="preserve">Стан навчального PostgreSQL (замість docker compose … ps):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# Стан навчального PostgreSQL (портативний, замість docker compose ps)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pg_ctl: server is running (PID: 5812)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C:/Users/Admin/pgsql-portable/pgsql/bin/postgres.exe "-D" "C:/Users/Admin/pgsql-portable/data" "-p" "54329" "-c" "listen_addresses=127.0.0.1"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db     |   role    |   host    | port  |                                 version                                 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-----------+-----------+-----------+-------+-------------------------------------------------------------------------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securelab | securelab | 127.0.0.1 | 54329 | PostgreSQL 17.6 on x86_64-windows, compiled by msvc-19.44.35213, 64-bit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(1 row)</w:t>
      </w:r>
    </w:p>
    <w:p/>
    <w:p>
      <w:r>
        <w:rPr>
          <w:b/>
          <w:sz w:val="21"/>
          <w:rFonts w:ascii="Calibri" w:hAnsi="Calibri"/>
        </w:rPr>
        <w:t xml:space="preserve">Readiness endpoint: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HTTP/1.1 200 OK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Content-Type: application/json; charset=utf-8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Date: Thu, 10 Sep 2026 10:35:49 GMT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Server: Kestrel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Transfer-Encoding: chunked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{"status":"healthy","database":"reachable"}</w:t>
      </w:r>
    </w:p>
    <w:p/>
    <w:p>
      <w:r>
        <w:rPr>
          <w:sz w:val="21"/>
          <w:rFonts w:ascii="Calibri" w:hAnsi="Calibri"/>
        </w:rPr>
        <w:t xml:space="preserve">Відкриваються: http://localhost:5080/ (клієнт), /health, /scalar/v1 (інтерактивний OpenAPI), /openapi/v1.json. Службова команда --reset-database застосовує міграції, очищує відомі навчальні таблиці й повторно заповнює seed (працює лише в Development).</w:t>
      </w:r>
    </w:p>
    <w:p/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Контрольна точка CP-01 — готовий локальний стенд</w:t>
      </w:r>
    </w:p>
    <w:tbl>
      <w:tblPr>
        <w:tblStyle w:val="TableGrid"/>
        <w:tblW w:w="9400" w:type="dxa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3000"/>
        <w:gridCol w:w="6400"/>
      </w:tblGrid>
      <w:tr>
        <w:tc>
          <w:tcPr>
            <w:tcW w:w="30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Пункт</w:t>
            </w:r>
          </w:p>
        </w:tc>
        <w:tc>
          <w:tcPr>
            <w:tcW w:w="64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Факт</w:t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rFonts w:ascii="Calibri" w:hAnsi="Calibri"/>
              </w:rPr>
              <w:t xml:space="preserve">git branch --show-current</w:t>
            </w:r>
          </w:p>
        </w:tc>
        <w:tc>
          <w:tcPr>
            <w:tcW w:w="6400" w:type="dxa"/>
          </w:tcPr>
          <w:p>
            <w:r>
              <w:rPr>
                <w:sz w:val="17"/>
                <w:rFonts w:ascii="Calibri" w:hAnsi="Calibri"/>
              </w:rPr>
              <w:t xml:space="preserve">lab/1-system (фінальний стан злито в main)</w:t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rFonts w:ascii="Calibri" w:hAnsi="Calibri"/>
              </w:rPr>
              <w:t xml:space="preserve">PostgreSQL</w:t>
            </w:r>
          </w:p>
        </w:tc>
        <w:tc>
          <w:tcPr>
            <w:tcW w:w="6400" w:type="dxa"/>
          </w:tcPr>
          <w:p>
            <w:r>
              <w:rPr>
                <w:sz w:val="17"/>
                <w:rFonts w:ascii="Calibri" w:hAnsi="Calibri"/>
              </w:rPr>
              <w:t xml:space="preserve">server is running (PID 5812), 127.0.0.1:54329, PostgreSQL 17.6, БД securelab</w:t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rFonts w:ascii="Calibri" w:hAnsi="Calibri"/>
              </w:rPr>
              <w:t xml:space="preserve">Клієнт, /health, Scalar</w:t>
            </w:r>
          </w:p>
        </w:tc>
        <w:tc>
          <w:tcPr>
            <w:tcW w:w="6400" w:type="dxa"/>
          </w:tcPr>
          <w:p>
            <w:r>
              <w:rPr>
                <w:sz w:val="17"/>
                <w:rFonts w:ascii="Calibri" w:hAnsi="Calibri"/>
              </w:rPr>
              <w:t xml:space="preserve">відкриваються; /health → 200 {"status":"healthy","database":"reachable"}</w:t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rFonts w:ascii="Calibri" w:hAnsi="Calibri"/>
              </w:rPr>
              <w:t xml:space="preserve">reset відтворює list-flow</w:t>
            </w:r>
          </w:p>
        </w:tc>
        <w:tc>
          <w:tcPr>
            <w:tcW w:w="6400" w:type="dxa"/>
          </w:tcPr>
          <w:p>
            <w:r>
              <w:rPr>
                <w:sz w:val="17"/>
                <w:rFonts w:ascii="Calibri" w:hAnsi="Calibri"/>
              </w:rPr>
              <w:t xml:space="preserve">після ResetAsync GET /api/incidents знову дає 3 seed-інциденти</w:t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rFonts w:ascii="Calibri" w:hAnsi="Calibri"/>
              </w:rPr>
              <w:t xml:space="preserve">git status</w:t>
            </w:r>
          </w:p>
        </w:tc>
        <w:tc>
          <w:tcPr>
            <w:tcW w:w="6400" w:type="dxa"/>
          </w:tcPr>
          <w:p>
            <w:r>
              <w:rPr>
                <w:sz w:val="17"/>
                <w:rFonts w:ascii="Calibri" w:hAnsi="Calibri"/>
              </w:rPr>
              <w:t xml:space="preserve">немає випадкового .env, журналу чи дампу БД</w:t>
            </w:r>
          </w:p>
        </w:tc>
      </w:tr>
    </w:tbl>
    <w:p/>
    <w:p>
      <w:pPr>
        <w:spacing w:before="260" w:after="90"/>
        <w:pBdr>
          <w:bottom w:val="single" w:color="888888" w:sz="6" w:space="2"/>
        </w:pBdr>
      </w:pPr>
      <w:r>
        <w:rPr>
          <w:b/>
          <w:sz w:val="27"/>
          <w:rFonts w:ascii="Calibri" w:hAnsi="Calibri"/>
          <w:color w:val="1F3864"/>
        </w:rPr>
        <w:t>Етап 2. Дослідження маршруту GET /api/incidents/{id}</w:t>
      </w:r>
    </w:p>
    <w:p>
      <w:r>
        <w:rPr>
          <w:b/>
          <w:sz w:val="21"/>
          <w:rFonts w:ascii="Calibri" w:hAnsi="Calibri"/>
        </w:rPr>
        <w:t xml:space="preserve">Маршрут як ланцюжок доказів: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натискання картки інциденту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→ loadIncidentDetails() у Client/app.js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→ GET /api/incidents/{id}                            (fetch, без body)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→ IncidentEndpoints.GetDetailsAsync                  (routing; обмеження :guid)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→ IncidentQueries.GetDetailsAsync                    (AsNoTracking, Where за id, SingleOrDefaultAsync)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→ SecureLabDbContext.Incidents  → PostgreSQL: таблиця incidents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→ IncidentDetailsResponse  → JSON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→ renderIncidentDetails()  → DOM через textContent / document.createTextNode</w:t>
      </w:r>
    </w:p>
    <w:p/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Запис Network (вбудований браузер, відкриття картки «Перевірка журналу комп'ютерного класу»)</w:t>
      </w:r>
    </w:p>
    <w:tbl>
      <w:tblPr>
        <w:tblStyle w:val="TableGrid"/>
        <w:tblW w:w="9400" w:type="dxa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6200"/>
        <w:gridCol w:w="1400"/>
        <w:gridCol w:w="1800"/>
      </w:tblGrid>
      <w:tr>
        <w:tc>
          <w:tcPr>
            <w:tcW w:w="62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Method + URL</w:t>
            </w:r>
          </w:p>
        </w:tc>
        <w:tc>
          <w:tcPr>
            <w:tcW w:w="14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Статус</w:t>
            </w:r>
          </w:p>
        </w:tc>
        <w:tc>
          <w:tcPr>
            <w:tcW w:w="18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Content-Type</w:t>
            </w:r>
          </w:p>
        </w:tc>
      </w:tr>
      <w:tr>
        <w:tc>
          <w:tcPr>
            <w:tcW w:w="6200" w:type="dxa"/>
          </w:tcPr>
          <w:p>
            <w:r>
              <w:rPr>
                <w:sz w:val="17"/>
                <w:rFonts w:ascii="Calibri" w:hAnsi="Calibri"/>
              </w:rPr>
              <w:t xml:space="preserve">GET /api/incidents</w:t>
            </w:r>
          </w:p>
        </w:tc>
        <w:tc>
          <w:tcPr>
            <w:tcW w:w="1400" w:type="dxa"/>
          </w:tcPr>
          <w:p>
            <w:r>
              <w:rPr>
                <w:sz w:val="17"/>
                <w:rFonts w:ascii="Calibri" w:hAnsi="Calibri"/>
              </w:rPr>
              <w:t xml:space="preserve">200 OK</w:t>
            </w:r>
          </w:p>
        </w:tc>
        <w:tc>
          <w:tcPr>
            <w:tcW w:w="1800" w:type="dxa"/>
          </w:tcPr>
          <w:p>
            <w:r>
              <w:rPr>
                <w:sz w:val="17"/>
                <w:rFonts w:ascii="Calibri" w:hAnsi="Calibri"/>
              </w:rPr>
              <w:t xml:space="preserve">application/json</w:t>
            </w:r>
          </w:p>
        </w:tc>
      </w:tr>
      <w:tr>
        <w:tc>
          <w:tcPr>
            <w:tcW w:w="6200" w:type="dxa"/>
          </w:tcPr>
          <w:p>
            <w:r>
              <w:rPr>
                <w:sz w:val="17"/>
                <w:rFonts w:ascii="Calibri" w:hAnsi="Calibri"/>
              </w:rPr>
              <w:t xml:space="preserve">GET /api/incidents/severity-summary</w:t>
            </w:r>
          </w:p>
        </w:tc>
        <w:tc>
          <w:tcPr>
            <w:tcW w:w="1400" w:type="dxa"/>
          </w:tcPr>
          <w:p>
            <w:r>
              <w:rPr>
                <w:sz w:val="17"/>
                <w:rFonts w:ascii="Calibri" w:hAnsi="Calibri"/>
              </w:rPr>
              <w:t xml:space="preserve">200 OK</w:t>
            </w:r>
          </w:p>
        </w:tc>
        <w:tc>
          <w:tcPr>
            <w:tcW w:w="1800" w:type="dxa"/>
          </w:tcPr>
          <w:p>
            <w:r>
              <w:rPr>
                <w:sz w:val="17"/>
                <w:rFonts w:ascii="Calibri" w:hAnsi="Calibri"/>
              </w:rPr>
              <w:t xml:space="preserve">application/json</w:t>
            </w:r>
          </w:p>
        </w:tc>
      </w:tr>
      <w:tr>
        <w:tc>
          <w:tcPr>
            <w:tcW w:w="6200" w:type="dxa"/>
          </w:tcPr>
          <w:p>
            <w:r>
              <w:rPr>
                <w:sz w:val="17"/>
                <w:rFonts w:ascii="Calibri" w:hAnsi="Calibri"/>
              </w:rPr>
              <w:t xml:space="preserve">GET /api/incidents/20000000-0000-0000-0000-000000000003</w:t>
            </w:r>
          </w:p>
        </w:tc>
        <w:tc>
          <w:tcPr>
            <w:tcW w:w="1400" w:type="dxa"/>
          </w:tcPr>
          <w:p>
            <w:r>
              <w:rPr>
                <w:sz w:val="17"/>
                <w:rFonts w:ascii="Calibri" w:hAnsi="Calibri"/>
              </w:rPr>
              <w:t xml:space="preserve">200 OK</w:t>
            </w:r>
          </w:p>
        </w:tc>
        <w:tc>
          <w:tcPr>
            <w:tcW w:w="1800" w:type="dxa"/>
          </w:tcPr>
          <w:p>
            <w:r>
              <w:rPr>
                <w:sz w:val="17"/>
                <w:rFonts w:ascii="Calibri" w:hAnsi="Calibri"/>
              </w:rPr>
              <w:t xml:space="preserve">application/json</w:t>
            </w:r>
          </w:p>
        </w:tc>
      </w:tr>
    </w:tbl>
    <w:p/>
    <w:p>
      <w:r>
        <w:rPr>
          <w:b/>
          <w:sz w:val="21"/>
          <w:rFonts w:ascii="Calibri" w:hAnsi="Calibri"/>
        </w:rPr>
        <w:t xml:space="preserve">Успішна гілка (request/response):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### GET /api/incidents/20000000-0000-0000-0000-000000000003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HTTP/1.1 200 OK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Content-Type: application/json; charset=utf-8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Date: Thu, 10 Sep 2026 10:24:03 GMT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Server: Kestrel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Transfer-Encoding: chunked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{"id":"20000000-0000-0000-0000-000000000003","title":"Перевірка журналу комп'ютерного класу","description":"Лаборант повідомив про сторонній запис у журналі доступу. Приклад підозрілого рядка з журналу: &lt;script&gt;alert('xss')&lt;/script&gt; — його слід показувати як звичайний текст.","severity":"Low","status":"New","occurredAtUtc":"2026-08-05T11:00:00+00:00","createdAtUtc":"2026-08-05T11:20:00+00:00","ownerDisplayName":"Morgan","comments":[{"authorDisplayName":"Alice","body":"Журнал вивантажено, аномальний запис локалізовано за часовою міткою.","createdAtUtc":"2026-08-05T12:00:00+00:00"}]}</w:t>
      </w:r>
    </w:p>
    <w:p/>
    <w:p>
      <w:r>
        <w:rPr>
          <w:b/>
          <w:sz w:val="21"/>
          <w:rFonts w:ascii="Calibri" w:hAnsi="Calibri"/>
        </w:rPr>
        <w:t xml:space="preserve">Гілка відсутнього ресурсу (синтаксично коректний, але відсутній UUID) — 404 Problem Details з traceId: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### GET /api/incidents/aaaaaaaa-aaaa-4aaa-8aaa-aaaaaaaaaaaa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HTTP/1.1 404 Not Found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Content-Type: application/problem+json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Date: Thu, 10 Sep 2026 10:24:03 GMT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Server: Kestrel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Transfer-Encoding: chunked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{"type":"https://tools.ietf.org/html/rfc9110#section-15.5.5","title":"Інцидент не знайдено","status":404,"detail":"Інцидент з ідентифікатором aaaaaaaa-aaaa-4aaa-8aaa-aaaaaaaaaaaa не знайдено.","traceId":"00-b731775cffab41f5cb2570d3fde424a4-3dfe08405a813af4-00"}</w:t>
      </w:r>
    </w:p>
    <w:p/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Зіставлення request із кодом кожного рівня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IncidentEndpoints.cs: група /api/incidents; MapGet("/{id:guid}", GetDetailsAsync). Обмеження :guid відсіює некоректний id ще до обробника; результат null із query → 404 Problem Details (не 400).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IncidentQueries.GetDetailsAsync: dbContext.Incidents.AsNoTracking() → Where за id → проєкція в IncidentDetailsResponse → SingleOrDefaultAsync. Однойменні endpoint- і query-методи належать до різних типів.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SecureLabDbContext.cs: DbSet&lt;Incident&gt; Incidents; entity.ToTable("incidents"); Severity/Status — HasConversion&lt;string&gt;() (зберігаються як текст).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Read-only звірка даних у PostgreSQL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# Read-only звірка даних у PostgreSQL (локальний стенд securelab, порт 54329)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# EF Core згенерував ідентифікатори у PascalCase, тому в SQL вони в лапках.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-- Деталі інциденту, які показує успішна гілка GET /api/incidents/{id}: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          Id                  |                 Title                 | Severity | Status 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--------------------------------------+---------------------------------------+----------+--------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20000000-0000-0000-0000-000000000003 | Перевірка журналу комп'ютерного класу | Low      | New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(1 row)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-- Розподіл за severity (те, що агрегує GET /api/incidents/severity-summary):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Severity | count 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----------+-------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High     |     1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Low      |     1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Medium   |     1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(3 rows)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-- Внутрішній коментар існує в БД, але НЕ входить у details response: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AuthorDisplayName | IsInternal |                     Body                      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-------------------+------------+-----------------------------------------------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Bob               | f          | Перевірив заголовки листа: SPF fail, домен за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Alice             | f          | Журнал вивантажено, аномальний запис локалізо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Admin             | t          | Внутрішня примітка: не розголошувати ім'я лаб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(3 rows)</w:t>
      </w:r>
    </w:p>
    <w:p/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Response DTO ↔ DOM: безпечний показ тексту</w:t>
      </w:r>
    </w:p>
    <w:p>
      <w:r>
        <w:rPr>
          <w:sz w:val="21"/>
          <w:rFonts w:ascii="Calibri" w:hAnsi="Calibri"/>
        </w:rPr>
        <w:t xml:space="preserve">IncidentDetailsResponse повертає Id, Title, Description, Severity, Status, OccurredAtUtc, CreatedAtUtc, OwnerDisplayName і колекцію дозволених Comments — без OwnerUserId, email та внутрішніх коментарів (це видно у відповіді вище і підтверджено SQL: коментар Admin з IsInternal = t у JSON відсутній). У renderIncidentDetails кожне значення потрапляє в DOM лише через textContent / document.createTextNode, тому фрагмент &lt;script&gt; у полі description показується як текст.</w:t>
      </w:r>
    </w:p>
    <w:p>
      <w:r>
        <w:drawing>
          <wp:inline xmlns:wp="http://schemas.openxmlformats.org/drawingml/2006/wordprocessingDrawing" distT="0" distB="0" distL="0" distR="0">
            <wp:extent cx="5577840" cy="51487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02-incident-details-script-as-text.png"/>
                    <pic:cNvPicPr/>
                  </pic:nvPicPr>
                  <pic:blipFill>
                    <a:blip xmlns:r="http://schemas.openxmlformats.org/officeDocument/2006/relationships" r:embed="R0a082b194590485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14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Деталі інциденту: &lt;script&gt;alert('xss')&lt;/script&gt; у полі «Опис» відображається як звичайний текст.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Межі довіри на дослідженому маршруті</w:t>
      </w:r>
    </w:p>
    <w:tbl>
      <w:tblPr>
        <w:tblStyle w:val="TableGrid"/>
        <w:tblW w:w="9400" w:type="dxa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00"/>
        <w:gridCol w:w="1700"/>
        <w:gridCol w:w="2900"/>
        <w:gridCol w:w="3100"/>
      </w:tblGrid>
      <w:tr>
        <w:tc>
          <w:tcPr>
            <w:tcW w:w="17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Межа / перехід</w:t>
            </w:r>
          </w:p>
        </w:tc>
        <w:tc>
          <w:tcPr>
            <w:tcW w:w="17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Дані</w:t>
            </w:r>
          </w:p>
        </w:tc>
        <w:tc>
          <w:tcPr>
            <w:tcW w:w="29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Хибне припущення</w:t>
            </w:r>
          </w:p>
        </w:tc>
        <w:tc>
          <w:tcPr>
            <w:tcW w:w="31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Контроль у маршруті</w:t>
            </w:r>
          </w:p>
        </w:tc>
      </w:tr>
      <w:tr>
        <w:tc>
          <w:tcPr>
            <w:tcW w:w="1700" w:type="dxa"/>
          </w:tcPr>
          <w:p>
            <w:r>
              <w:rPr>
                <w:sz w:val="17"/>
                <w:rFonts w:ascii="Calibri" w:hAnsi="Calibri"/>
              </w:rPr>
              <w:t xml:space="preserve">браузер → API</w:t>
            </w:r>
          </w:p>
        </w:tc>
        <w:tc>
          <w:tcPr>
            <w:tcW w:w="1700" w:type="dxa"/>
          </w:tcPr>
          <w:p>
            <w:r>
              <w:rPr>
                <w:sz w:val="17"/>
                <w:rFonts w:ascii="Calibri" w:hAnsi="Calibri"/>
              </w:rPr>
              <w:t xml:space="preserve">method, URL, path parameter</w:t>
            </w:r>
          </w:p>
        </w:tc>
        <w:tc>
          <w:tcPr>
            <w:tcW w:w="2900" w:type="dxa"/>
          </w:tcPr>
          <w:p>
            <w:r>
              <w:rPr>
                <w:sz w:val="17"/>
                <w:rFonts w:ascii="Calibri" w:hAnsi="Calibri"/>
              </w:rPr>
              <w:t xml:space="preserve">клієнт запитає лише ID зі списку</w:t>
            </w:r>
          </w:p>
        </w:tc>
        <w:tc>
          <w:tcPr>
            <w:tcW w:w="3100" w:type="dxa"/>
          </w:tcPr>
          <w:p>
            <w:r>
              <w:rPr>
                <w:sz w:val="17"/>
                <w:rFonts w:ascii="Calibri" w:hAnsi="Calibri"/>
              </w:rPr>
              <w:t xml:space="preserve">маршрутне обмеження :guid + серверна обробка відсутнього ресурсу (404)</w:t>
            </w:r>
          </w:p>
        </w:tc>
      </w:tr>
      <w:tr>
        <w:tc>
          <w:tcPr>
            <w:tcW w:w="1700" w:type="dxa"/>
          </w:tcPr>
          <w:p>
            <w:r>
              <w:rPr>
                <w:sz w:val="17"/>
                <w:rFonts w:ascii="Calibri" w:hAnsi="Calibri"/>
              </w:rPr>
              <w:t xml:space="preserve">API → PostgreSQL</w:t>
            </w:r>
          </w:p>
        </w:tc>
        <w:tc>
          <w:tcPr>
            <w:tcW w:w="1700" w:type="dxa"/>
          </w:tcPr>
          <w:p>
            <w:r>
              <w:rPr>
                <w:sz w:val="17"/>
                <w:rFonts w:ascii="Calibri" w:hAnsi="Calibri"/>
              </w:rPr>
              <w:t xml:space="preserve">id, умови запиту</w:t>
            </w:r>
          </w:p>
        </w:tc>
        <w:tc>
          <w:tcPr>
            <w:tcW w:w="2900" w:type="dxa"/>
          </w:tcPr>
          <w:p>
            <w:r>
              <w:rPr>
                <w:sz w:val="17"/>
                <w:rFonts w:ascii="Calibri" w:hAnsi="Calibri"/>
              </w:rPr>
              <w:t xml:space="preserve">збережений текст автоматично безпечний</w:t>
            </w:r>
          </w:p>
        </w:tc>
        <w:tc>
          <w:tcPr>
            <w:tcW w:w="3100" w:type="dxa"/>
          </w:tcPr>
          <w:p>
            <w:r>
              <w:rPr>
                <w:sz w:val="17"/>
                <w:rFonts w:ascii="Calibri" w:hAnsi="Calibri"/>
              </w:rPr>
              <w:t xml:space="preserve">параметризація EF Core, AsNoTracking(), явна проєкція в DTO</w:t>
            </w:r>
          </w:p>
        </w:tc>
      </w:tr>
      <w:tr>
        <w:tc>
          <w:tcPr>
            <w:tcW w:w="1700" w:type="dxa"/>
          </w:tcPr>
          <w:p>
            <w:r>
              <w:rPr>
                <w:sz w:val="17"/>
                <w:rFonts w:ascii="Calibri" w:hAnsi="Calibri"/>
              </w:rPr>
              <w:t xml:space="preserve">API → браузер</w:t>
            </w:r>
          </w:p>
        </w:tc>
        <w:tc>
          <w:tcPr>
            <w:tcW w:w="1700" w:type="dxa"/>
          </w:tcPr>
          <w:p>
            <w:r>
              <w:rPr>
                <w:sz w:val="17"/>
                <w:rFonts w:ascii="Calibri" w:hAnsi="Calibri"/>
              </w:rPr>
              <w:t xml:space="preserve">JSON із полями details</w:t>
            </w:r>
          </w:p>
        </w:tc>
        <w:tc>
          <w:tcPr>
            <w:tcW w:w="2900" w:type="dxa"/>
          </w:tcPr>
          <w:p>
            <w:r>
              <w:rPr>
                <w:sz w:val="17"/>
                <w:rFonts w:ascii="Calibri" w:hAnsi="Calibri"/>
              </w:rPr>
              <w:t xml:space="preserve">право прочитати entity = право одержати всі поля</w:t>
            </w:r>
          </w:p>
        </w:tc>
        <w:tc>
          <w:tcPr>
            <w:tcW w:w="3100" w:type="dxa"/>
          </w:tcPr>
          <w:p>
            <w:r>
              <w:rPr>
                <w:sz w:val="17"/>
                <w:rFonts w:ascii="Calibri" w:hAnsi="Calibri"/>
              </w:rPr>
              <w:t xml:space="preserve">окремий IncidentDetailsResponse без OwnerUserId, email, внутрішніх коментарів</w:t>
            </w:r>
          </w:p>
        </w:tc>
      </w:tr>
      <w:tr>
        <w:tc>
          <w:tcPr>
            <w:tcW w:w="1700" w:type="dxa"/>
          </w:tcPr>
          <w:p>
            <w:r>
              <w:rPr>
                <w:sz w:val="17"/>
                <w:rFonts w:ascii="Calibri" w:hAnsi="Calibri"/>
              </w:rPr>
              <w:t xml:space="preserve">дані response → DOM</w:t>
            </w:r>
          </w:p>
        </w:tc>
        <w:tc>
          <w:tcPr>
            <w:tcW w:w="1700" w:type="dxa"/>
          </w:tcPr>
          <w:p>
            <w:r>
              <w:rPr>
                <w:sz w:val="17"/>
                <w:rFonts w:ascii="Calibri" w:hAnsi="Calibri"/>
              </w:rPr>
              <w:t xml:space="preserve">текстові значення з JSON</w:t>
            </w:r>
          </w:p>
        </w:tc>
        <w:tc>
          <w:tcPr>
            <w:tcW w:w="2900" w:type="dxa"/>
          </w:tcPr>
          <w:p>
            <w:r>
              <w:rPr>
                <w:sz w:val="17"/>
                <w:rFonts w:ascii="Calibri" w:hAnsi="Calibri"/>
              </w:rPr>
              <w:t xml:space="preserve">текст можна інтерпретувати як HTML</w:t>
            </w:r>
          </w:p>
        </w:tc>
        <w:tc>
          <w:tcPr>
            <w:tcW w:w="3100" w:type="dxa"/>
          </w:tcPr>
          <w:p>
            <w:r>
              <w:rPr>
                <w:sz w:val="17"/>
                <w:rFonts w:ascii="Calibri" w:hAnsi="Calibri"/>
              </w:rPr>
              <w:t xml:space="preserve">textContent / document.createTextNode</w:t>
            </w:r>
          </w:p>
        </w:tc>
      </w:tr>
    </w:tbl>
    <w:p/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Контрольна точка CP-02 — простежений маршрут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Власний запис Network для успішного GET /api/incidents/{id}: method, фактичний URL, 200, application/json, JSON, тривалість — наведено вище.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Гілка відсутнього ресурсу для іншого UUID: 404, application/problem+json, фактичний traceId цього запуску.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Зв'язок request → IncidentEndpoints.GetDetailsAsync → IncidentQueries.GetDetailsAsync → SecureLabDbContext.Incidents → таблиця incidents.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Read-only SQL-звірка за id збігається з полями details response.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Поля IncidentDetailsResponse зіставлені з DOM; &lt;script&gt; показано як текст.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Таблиця з чотирьох меж довіри саме details-потоку.</w:t>
      </w:r>
    </w:p>
    <w:p>
      <w:pPr>
        <w:spacing w:before="260" w:after="90"/>
        <w:pBdr>
          <w:bottom w:val="single" w:color="888888" w:sz="6" w:space="2"/>
        </w:pBdr>
      </w:pPr>
      <w:r>
        <w:rPr>
          <w:b/>
          <w:sz w:val="27"/>
          <w:rFonts w:ascii="Calibri" w:hAnsi="Calibri"/>
          <w:color w:val="1F3864"/>
        </w:rPr>
        <w:t>Етап 3. Наскрізне розширення: підсумок інцидентів за severity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Контракт</w:t>
      </w:r>
    </w:p>
    <w:tbl>
      <w:tblPr>
        <w:tblStyle w:val="TableGrid"/>
        <w:tblW w:w="9400" w:type="dxa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600"/>
        <w:gridCol w:w="6800"/>
      </w:tblGrid>
      <w:tr>
        <w:tc>
          <w:tcPr>
            <w:tcW w:w="26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Властивість</w:t>
            </w:r>
          </w:p>
        </w:tc>
        <w:tc>
          <w:tcPr>
            <w:tcW w:w="68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Значення</w:t>
            </w:r>
          </w:p>
        </w:tc>
      </w:tr>
      <w:tr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HTTP method / URL</w:t>
            </w:r>
          </w:p>
        </w:tc>
        <w:tc>
          <w:tcPr>
            <w:tcW w:w="6800" w:type="dxa"/>
          </w:tcPr>
          <w:p>
            <w:r>
              <w:rPr>
                <w:sz w:val="17"/>
                <w:rFonts w:ascii="Calibri" w:hAnsi="Calibri"/>
              </w:rPr>
              <w:t xml:space="preserve">GET  /api/incidents/severity-summary</w:t>
            </w:r>
          </w:p>
        </w:tc>
      </w:tr>
      <w:tr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Request body</w:t>
            </w:r>
          </w:p>
        </w:tc>
        <w:tc>
          <w:tcPr>
            <w:tcW w:w="6800" w:type="dxa"/>
          </w:tcPr>
          <w:p>
            <w:r>
              <w:rPr>
                <w:sz w:val="17"/>
                <w:rFonts w:ascii="Calibri" w:hAnsi="Calibri"/>
              </w:rPr>
              <w:t xml:space="preserve">відсутній</w:t>
            </w:r>
          </w:p>
        </w:tc>
      </w:tr>
      <w:tr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Успішна відповідь</w:t>
            </w:r>
          </w:p>
        </w:tc>
        <w:tc>
          <w:tcPr>
            <w:tcW w:w="6800" w:type="dxa"/>
          </w:tcPr>
          <w:p>
            <w:r>
              <w:rPr>
                <w:sz w:val="17"/>
                <w:rFonts w:ascii="Calibri" w:hAnsi="Calibri"/>
              </w:rPr>
              <w:t xml:space="preserve">200 OK, JSON-масив елементів { severity, count }</w:t>
            </w:r>
          </w:p>
        </w:tc>
      </w:tr>
      <w:tr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Політика нульових груп</w:t>
            </w:r>
          </w:p>
        </w:tc>
        <w:tc>
          <w:tcPr>
            <w:tcW w:w="6800" w:type="dxa"/>
          </w:tcPr>
          <w:p>
            <w:r>
              <w:rPr>
                <w:sz w:val="17"/>
                <w:rFonts w:ascii="Calibri" w:hAnsi="Calibri"/>
              </w:rPr>
              <w:t xml:space="preserve">повний перелік рівнів: відсутні severity доповнюються count: 0</w:t>
            </w:r>
          </w:p>
        </w:tc>
      </w:tr>
      <w:tr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Порядок</w:t>
            </w:r>
          </w:p>
        </w:tc>
        <w:tc>
          <w:tcPr>
            <w:tcW w:w="6800" w:type="dxa"/>
          </w:tcPr>
          <w:p>
            <w:r>
              <w:rPr>
                <w:sz w:val="17"/>
                <w:rFonts w:ascii="Calibri" w:hAnsi="Calibri"/>
              </w:rPr>
              <w:t xml:space="preserve">явний порядок критичності Low, Medium, High, Critical (задокументовано в DTO і architecture.md)</w:t>
            </w:r>
          </w:p>
        </w:tc>
      </w:tr>
      <w:tr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Необов'язковий ?status=</w:t>
            </w:r>
          </w:p>
        </w:tc>
        <w:tc>
          <w:tcPr>
            <w:tcW w:w="6800" w:type="dxa"/>
          </w:tcPr>
          <w:p>
            <w:r>
              <w:rPr>
                <w:sz w:val="17"/>
                <w:rFonts w:ascii="Calibri" w:hAnsi="Calibri"/>
              </w:rPr>
              <w:t xml:space="preserve">перевіряється за явним allowlist; невідоме значення → 400 Validation Problem Details</w:t>
            </w:r>
          </w:p>
        </w:tc>
      </w:tr>
    </w:tbl>
    <w:p/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Доказ «до» — baseline повертав 501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# BASELINE (main, tag starter-v0.1.0) — GET /api/incidents/severity-summary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HTTP/1.1 501 Not Implemented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Content-Type: application/problem+json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Date: Thu, 10 Sep 2026 10:22:58 GMT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Server: Kestrel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Transfer-Encoding: chunked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{"type":"https://tools.ietf.org/html/rfc9110#section-15.6.2","title":"Не реалізовано","status":501,"detail":"Точку розширення GET /api/incidents/severity-summary ще не реалізовано в baseline.","traceId":"00-018aa14c1956b20fe16ec6dac22b3eaa-8c5daf2edfa96917-00"}</w:t>
      </w:r>
    </w:p>
    <w:p/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Доказ «після» — 200 OK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### GET /api/incidents/severity-summary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HTTP/1.1 200 OK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Content-Type: application/json; charset=utf-8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Date: Thu, 10 Sep 2026 10:24:03 GMT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Server: Kestrel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Transfer-Encoding: chunked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[{"severity":"Low","count":1},{"severity":"Medium","count":1},{"severity":"High","count":1},{"severity":"Critical","count":0}]</w:t>
      </w:r>
    </w:p>
    <w:p/>
    <w:p>
      <w:r>
        <w:rPr>
          <w:sz w:val="21"/>
          <w:rFonts w:ascii="Calibri" w:hAnsi="Calibri"/>
        </w:rPr>
        <w:t xml:space="preserve">За baseline seed: Low = 1, Medium = 1, High = 1, Critical = 0 (повний перелік рівнів, порядок критичності).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[секцію не знайдено]</w:t>
      </w:r>
    </w:p>
    <w:p/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[секцію не знайдено]</w:t>
      </w:r>
    </w:p>
    <w:p/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Основний код: endpoint → application layer → DTO</w:t>
      </w:r>
    </w:p>
    <w:p>
      <w:r>
        <w:rPr>
          <w:b/>
          <w:sz w:val="21"/>
          <w:rFonts w:ascii="Calibri" w:hAnsi="Calibri"/>
        </w:rPr>
        <w:t xml:space="preserve">src/SecureLab.Api/Application/Incidents/IncidentQueries.cs: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var aggregated = await dbContext.Incidents.AsNoTracking()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.Where(i =&gt; status == null || i.Status == status)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.GroupBy(i =&gt; i.Severity)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.Select(g =&gt; new { Severity = g.Key, Count = g.Count() })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.ToListAsync(cancellationToken);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var counts = aggregated.ToDictionary(i =&gt; i.Severity, i =&gt; i.Count);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var summary = SeverityOrder                       // [Low, Medium, High, Critical]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.Select(s =&gt; new IncidentSeveritySummaryResponse(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s.ToString(), counts.TryGetValue(s, out var c) ? c : 0))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.ToList();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logger.LogInformation("Сформовано підсумок за severity: {GroupCount} рівнів, " +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"фільтр {StatusFilter}, груп у БД {NonEmptyGroups}",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summary.Count, status?.ToString() ?? "усі", aggregated.Count);</w:t>
      </w:r>
    </w:p>
    <w:p/>
    <w:p>
      <w:r>
        <w:rPr>
          <w:sz w:val="21"/>
          <w:rFonts w:ascii="Calibri" w:hAnsi="Calibri"/>
        </w:rPr>
        <w:t xml:space="preserve">src/SecureLab.Api/Presentation/Endpoints/IncidentEndpoints.cs — заготовку 501 замінено робочим методом (IncidentQueries через DI, CancellationToken, ?status= за allowlist); прибрано .ProducesProblem(501), додано .Produces&lt;IReadOnlyList&lt;IncidentSeveritySummaryResponse&gt;&gt;() і .ProducesValidationProblem().</w:t>
      </w:r>
    </w:p>
    <w:p>
      <w:r>
        <w:rPr>
          <w:b/>
          <w:sz w:val="21"/>
          <w:rFonts w:ascii="Calibri" w:hAnsi="Calibri"/>
        </w:rPr>
        <w:t xml:space="preserve">src/SecureLab.Api/Presentation/Contracts/IncidentResponses.cs: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public sealed record IncidentSeveritySummaryResponse(string Severity, int Count);</w:t>
      </w:r>
    </w:p>
    <w:p/>
    <w:p>
      <w:r>
        <w:rPr>
          <w:b/>
          <w:sz w:val="21"/>
          <w:rFonts w:ascii="Calibri" w:hAnsi="Calibri"/>
        </w:rPr>
        <w:t xml:space="preserve">Структуроване журналювання (шаблон окремо від значень), фактичний запис для ?status=New: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info: SecureLab.Api.Application.Incidents.IncidentQueries[0]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Сформовано підсумок інцидентів за severity: 4 рівнів, фільтр статусу New, знайдено груп у БД 2</w:t>
      </w:r>
    </w:p>
    <w:p/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Клієнт</w:t>
      </w:r>
    </w:p>
    <w:p>
      <w:r>
        <w:rPr>
          <w:sz w:val="21"/>
          <w:rFonts w:ascii="Calibri" w:hAnsi="Calibri"/>
        </w:rPr>
        <w:t xml:space="preserve">У Client/index.html додано кнопку #load-severity-summary, статус і &lt;ul id="severity-summary-list"&gt;. У Client/app.js функція loadSeveritySummary(): стан «Завантаження…» → apiFetch("/api/incidents/severity-summary") → для [] стан «Даних немає» → для успіху кожен рядок li.textContent = `${severity}: ${count}` → у catch коротке фіксоване повідомлення без stack trace. Дані API не перетворюються на HTML-розмітку.</w:t>
      </w:r>
    </w:p>
    <w:p>
      <w:r>
        <w:drawing>
          <wp:inline xmlns:wp="http://schemas.openxmlformats.org/drawingml/2006/wordprocessingDrawing" distT="0" distB="0" distL="0" distR="0">
            <wp:extent cx="5577840" cy="450517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1-client-home.png"/>
                    <pic:cNvPicPr/>
                  </pic:nvPicPr>
                  <pic:blipFill>
                    <a:blip xmlns:r="http://schemas.openxmlformats.org/officeDocument/2006/relationships" r:embed="Rd60d53ea9ef74d6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50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Клієнт: список інцидентів і блок «Підсумок за критичністю» — Low 1, Medium 1, High 1, Critical 0.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Відтворювані сценарії та автоматизована перевірка</w:t>
      </w:r>
    </w:p>
    <w:p>
      <w:r>
        <w:rPr>
          <w:sz w:val="21"/>
          <w:rFonts w:ascii="Calibri" w:hAnsi="Calibri"/>
        </w:rPr>
        <w:t xml:space="preserve">tests/http/incidents.http містить сценарії 200 / 400 / 404 / 501→200. dotnet test tests/SecureLab.Api.Tests (Release) — 8 / 8 пройдено: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GetIncidents_ReturnsSeededIncidents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GetIncidentDetails_UnknownId_ReturnsProblemDetails404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GetIncidentDetails_DoesNotExposeOwnerUserIdOrEmail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ClientScript_DoesNotUseDangerousInnerHtmlSink (забороняє innerHTML / outerHTML / insertAdjacentHTML / document.write)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GetSeveritySummary_ReturnsAllLevelsInCriticalityOrder_WithBaselineSeedCounts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GetSeveritySummary_WithStatusFilter_CountsOnlyMatchingIncidents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GetSeveritySummary_UnknownStatus_ReturnsValidationProblem400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GetSeveritySummary_IsNoLongerBaseline501</w:t>
      </w:r>
    </w:p>
    <w:p>
      <w:r>
        <w:rPr>
          <w:sz w:val="21"/>
          <w:rFonts w:ascii="Calibri" w:hAnsi="Calibri"/>
        </w:rPr>
        <w:t xml:space="preserve">SecureLabApiFactory піднімає застосунок у Development і перед тестами викликає DbSeeder.ResetAsync.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Контрольна точка CP-03 — реалізоване наскрізне розширення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severity-summary до зміни — 501, після реалізації — 200 (докази вище).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Окремий response DTO IncidentSeveritySummaryResponse без зайвих полів entity.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Асинхронний query через AsNoTracking(), GroupBy, Count(), ToListAsync(cancellationToken).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За baseline seed — Low/Medium/High по одному, Critical з count: 0 (політика повного переліку).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Задокументована політика нульових груп і сталий порядок критичності.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Endpoint із DI та metadata успішної відповіді замість baseline 501.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Network-запит із клієнта, безпечний показ результату; стани завантаження / порожньо / помилка.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DOM-вивід через textContent.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Структурований log без чутливих даних.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Відтворювані сценарії .http + 4 інтеграційні тести severity-summary; підсумок автоматизованої перевірки — 8/8.</w:t>
      </w:r>
    </w:p>
    <w:p>
      <w:pPr>
        <w:spacing w:before="260" w:after="90"/>
        <w:pBdr>
          <w:bottom w:val="single" w:color="888888" w:sz="6" w:space="2"/>
        </w:pBdr>
      </w:pPr>
      <w:r>
        <w:rPr>
          <w:b/>
          <w:sz w:val="27"/>
          <w:rFonts w:ascii="Calibri" w:hAnsi="Calibri"/>
          <w:color w:val="1F3864"/>
        </w:rPr>
        <w:t>Артефакти подання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DEL-01 — репозиторій і тег: гілки lab/1-system і main, тег v0.1.0 на злитому перевіреному commit a2898d7 (git rev-parse HEAD == git rev-list -n 1 v0.1.0). Усе запушено на приватний-за-замовчуванням GitHub.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DEL-02 — карта архітектури: docs/architecture.md (компоненти, обраний маршрут, ключові файли, щонайменше три межі довіри, конфігураційні входи, спосіб повернення до seed).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DEL-03 — цей звіт: назва варіанта, гілки, тег і commit hash; стан навчального PostgreSQL; опис зміненого маршруту; HTTP-відповідь 501 до реалізації; request/response успішного сценарію та 404; запис Network; фрагмент endpoint → application layer → DbContext; результат нової функції; карта потоку; фактичний результат автоматизованої перевірки (8/8).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Перегляд diff на секрети: .gitignore виключає infra/.env, *.env (крім infra/.env.example), *.dump, *.log, bin/obj, .vs/. У staged diff та історії немає .env з реальними значеннями, паролів поза відкритим навчальним, cookies, токенів, дампів БД чи журналів із credentials.</w:t>
      </w:r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R0a082b1945904858" /><Relationship Type="http://schemas.openxmlformats.org/officeDocument/2006/relationships/image" Target="/media/image2.png" Id="Rd60d53ea9ef74d69" /></Relationships>
</file>