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3ED36AAB" w14:textId="60BD7451" w:rsidR="005012A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1</w:t>
      </w:r>
    </w:p>
    <w:p w14:paraId="7280B4B2" w14:textId="1369EC23" w:rsidR="00045D7B" w:rsidRPr="00045D7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bookmarkStart w:id="0" w:name="_GoBack"/>
      <w:bookmarkEnd w:id="0"/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7422F116" w14:textId="74C6FDF4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AdventureWorks. You can use requirements </w:t>
      </w:r>
      <w:r w:rsidRPr="009950E6">
        <w:rPr>
          <w:rFonts w:ascii="Segoe UI" w:hAnsi="Segoe UI" w:cs="Segoe UI"/>
        </w:rPr>
        <w:t>as identified from the AdventureWorks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missed but should be considered to ensure that AdventureWorks has proper security coverage.</w:t>
      </w:r>
    </w:p>
    <w:p w14:paraId="175C2E35" w14:textId="7550B9E4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46E683D7" w14:textId="0CD2297D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4" w:type="dxa"/>
          </w:tcPr>
          <w:p w14:paraId="145CAD5E" w14:textId="5B872CFC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25463EA3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6453D1D" w14:textId="7F561A92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611EEE9F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12DDC6C3" w:rsidR="00511ADD" w:rsidRPr="00FF712E" w:rsidRDefault="00511ADD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7AB5240C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70A6ABC2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10E2AE23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1234DBD8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078E61A4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633F1ED3" w:rsidR="003A7D39" w:rsidRPr="003A7D39" w:rsidRDefault="003A7D39" w:rsidP="003A7D39">
            <w:pPr>
              <w:rPr>
                <w:rFonts w:ascii="Segoe UI" w:hAnsi="Segoe UI" w:cs="Segoe UI"/>
              </w:rPr>
            </w:pP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6DEF2335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7C449403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08BA5B03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37F0E32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38642F5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7E66FE0D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71A8B0F2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61FE6567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44B7F9AE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C87AB" w14:textId="77777777" w:rsidR="00FB0E0C" w:rsidRDefault="00FB0E0C" w:rsidP="005012AB">
      <w:pPr>
        <w:spacing w:after="0" w:line="240" w:lineRule="auto"/>
      </w:pPr>
      <w:r>
        <w:separator/>
      </w:r>
    </w:p>
  </w:endnote>
  <w:endnote w:type="continuationSeparator" w:id="0">
    <w:p w14:paraId="512CDD25" w14:textId="77777777" w:rsidR="00FB0E0C" w:rsidRDefault="00FB0E0C" w:rsidP="005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37846" w14:textId="77777777" w:rsidR="00FB0E0C" w:rsidRDefault="00FB0E0C" w:rsidP="005012AB">
      <w:pPr>
        <w:spacing w:after="0" w:line="240" w:lineRule="auto"/>
      </w:pPr>
      <w:r>
        <w:separator/>
      </w:r>
    </w:p>
  </w:footnote>
  <w:footnote w:type="continuationSeparator" w:id="0">
    <w:p w14:paraId="5CBE3CDC" w14:textId="77777777" w:rsidR="00FB0E0C" w:rsidRDefault="00FB0E0C" w:rsidP="005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5012AB"/>
    <w:rsid w:val="00511ADD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FB0E0C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10</cp:revision>
  <dcterms:created xsi:type="dcterms:W3CDTF">2019-04-01T14:56:00Z</dcterms:created>
  <dcterms:modified xsi:type="dcterms:W3CDTF">2020-02-10T16:00:00Z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2020-02-10T16:00:22.3071332Z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baad74c3-10ce-45e5-9b66-c3df25aa8db1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