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  <w:rtl w:val="0"/>
          <w:lang w:val="en-US"/>
        </w:rPr>
        <w:t>Full list of Exclusion Criteria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Note: text in </w:t>
      </w:r>
      <w:r>
        <w:rPr>
          <w:i w:val="0"/>
          <w:iCs w:val="0"/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red</w:t>
      </w:r>
      <w:r>
        <w:rPr>
          <w:i w:val="1"/>
          <w:iCs w:val="1"/>
          <w:rtl w:val="0"/>
          <w:lang w:val="en-US"/>
        </w:rPr>
        <w:t xml:space="preserve"> are exclusion criteria, and text in </w:t>
      </w:r>
      <w:r>
        <w:rPr>
          <w:rFonts w:ascii="Times Roman" w:hAnsi="Times Roman"/>
          <w:i w:val="0"/>
          <w:iCs w:val="0"/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gray</w:t>
      </w:r>
      <w:r>
        <w:rPr>
          <w:i w:val="1"/>
          <w:iCs w:val="1"/>
          <w:rtl w:val="0"/>
          <w:lang w:val="en-US"/>
        </w:rPr>
        <w:t xml:space="preserve"> are examples of excluded literature</w:t>
      </w:r>
    </w:p>
    <w:p>
      <w:pPr>
        <w:pStyle w:val="Default"/>
        <w:spacing w:before="0" w:line="240" w:lineRule="auto"/>
      </w:pPr>
    </w:p>
    <w:p>
      <w:pPr>
        <w:pStyle w:val="Default"/>
        <w:spacing w:before="0" w:line="240" w:lineRule="auto"/>
      </w:pPr>
    </w:p>
    <w:p>
      <w:pPr>
        <w:pStyle w:val="Body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Not clearly mention the events/risks in resilience/responsive</w:t>
      </w:r>
    </w:p>
    <w:p>
      <w:pPr>
        <w:pStyle w:val="Body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Use big terms to explain big terms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The functions of urban design social attributes in creative placemaking: the case of Kuala Lumpur event festivals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Principles in practice: Toward a conceptual framework for resilient urban design</w:t>
      </w:r>
    </w:p>
    <w:p>
      <w:pPr>
        <w:pStyle w:val="Default"/>
        <w:spacing w:before="0" w:line="240" w:lineRule="auto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Too theoretically or philosophically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Radford, A., &amp; Oksala, T. (2018). Responsive cohesion in the art and artfulness of urban design: Some case studies in Helsinki. Journal of Urban Design, 23(2), 298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318. </w:t>
      </w:r>
    </w:p>
    <w:p>
      <w:pPr>
        <w:pStyle w:val="Default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Events/risks as </w:t>
      </w:r>
      <w:r>
        <w:rPr>
          <w:outline w:val="0"/>
          <w:color w:val="fe634d"/>
          <w:rtl w:val="0"/>
          <w:lang w:val="zh-CN" w:eastAsia="zh-CN"/>
          <w14:textFill>
            <w14:solidFill>
              <w14:srgbClr w14:val="FF644E"/>
            </w14:solidFill>
          </w14:textFill>
        </w:rPr>
        <w:t>COVID-19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, Climate (flood, water, biological, ecological, heat weave), disaster (earth quakes)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The adaptive capacity of public space under COVID-19: Exploring urban design interventions through a sociotechnical systems approach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COVID-19 Pandemic: Rethinking Strategies for Resilient Urban Design, Perceptions, and Planning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Urban design attributes and resilience: COVID-19 evidence from New York City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New horizons for sustainable architecture: Hydro-logical design for the ecologically responsive city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Climate-responsive landscape architecture design education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Cool public spaces for the cities: A climate-fit approach to the urban design of public streetscapes and squares - A vital contribution to climate-responsive cities</w:t>
      </w:r>
    </w:p>
    <w:p>
      <w:pPr>
        <w:pStyle w:val="Default"/>
        <w:spacing w:before="0" w:line="240" w:lineRule="auto"/>
        <w:rPr>
          <w:outline w:val="0"/>
          <w:color w:val="2e2e2e"/>
          <w:sz w:val="28"/>
          <w:szCs w:val="28"/>
          <w:shd w:val="clear" w:color="auto" w:fill="ffffff"/>
          <w14:textFill>
            <w14:solidFill>
              <w14:srgbClr w14:val="2E2E2E"/>
            </w14:solidFill>
          </w14:textFill>
        </w:rPr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Events/risks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as terror attacks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Swarm intelligence, social force and multi-agent modeling of heroic altruism behaviors under collective risks</w:t>
      </w:r>
    </w:p>
    <w:p>
      <w:pPr>
        <w:pStyle w:val="Default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Informal settlement - Hardly transferrable for station areas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Urban design and informal settlements: placemaking activities and temporary architectural interventions in BaSECo compound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Resilient edges: Exploring a socio-ecological urban design approach in metro manila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Diversity in urban design and neighbourhood resilience in response to the Great Recession</w:t>
      </w:r>
    </w:p>
    <w:p>
      <w:pPr>
        <w:pStyle w:val="Default"/>
        <w:rPr>
          <w:outline w:val="0"/>
          <w:color w:val="1cb000"/>
          <w14:textFill>
            <w14:solidFill>
              <w14:srgbClr w14:val="1DB100"/>
            </w14:solidFill>
          </w14:textFill>
        </w:rPr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Deal with purely non-physical or non-spatial subjects: Flexibility of the methodologies of design/education/teaching, or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 Flexibility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 in the process of decision-making process</w:t>
      </w:r>
    </w:p>
    <w:p>
      <w:pPr>
        <w:pStyle w:val="Default"/>
      </w:pPr>
      <w:r>
        <w:rPr>
          <w:rFonts w:cs="Arial Unicode MS" w:eastAsia="Arial Unicode MS"/>
          <w:rtl w:val="0"/>
          <w:lang w:val="pt-PT"/>
        </w:rPr>
        <w:t>Duarte, J. P., &amp; Beir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n-US"/>
        </w:rPr>
        <w:t>o, J. (2011). Towards a Methodology for Flexible Urban Design: Designing with Urban Patterns and Shape Grammars. Environment and Planning B: Planning and Design, 38(5), 879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902. 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The TEA Evaluation Toolkit: Assessing Transdisciplinary, Experiential, and Adaptive Learning and Teaching in Urban Design Studios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The role of platform architecture characteristics in flexible decision-making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Parsaee, M., Motealleh, P., &amp; Parva, M. (2016). Interactive architectural approach (interactive architecture): An effective and adaptive process for architectural design. HBRC Journal, 12(3), 327</w:t>
      </w:r>
      <w:r>
        <w:rPr>
          <w:rtl w:val="0"/>
        </w:rPr>
        <w:t>–</w:t>
      </w:r>
      <w:r>
        <w:rPr>
          <w:rtl w:val="0"/>
        </w:rPr>
        <w:t xml:space="preserve">336. </w:t>
      </w:r>
    </w:p>
    <w:p>
      <w:pPr>
        <w:pStyle w:val="Default"/>
        <w:spacing w:before="0" w:line="240" w:lineRule="auto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Deal with purely non-physical or non-spatial subjects: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O</w:t>
      </w:r>
      <w:r>
        <w:rPr>
          <w:outline w:val="0"/>
          <w:color w:val="fe634d"/>
          <w:rtl w:val="0"/>
          <w:lang w:val="zh-CN" w:eastAsia="zh-CN"/>
          <w14:textFill>
            <w14:solidFill>
              <w14:srgbClr w14:val="FF644E"/>
            </w14:solidFill>
          </w14:textFill>
        </w:rPr>
        <w:t>nly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 associated with management/</w:t>
      </w:r>
      <w:r>
        <w:rPr>
          <w:outline w:val="0"/>
          <w:color w:val="fe634d"/>
          <w:rtl w:val="0"/>
          <w:lang w:val="it-IT"/>
          <w14:textFill>
            <w14:solidFill>
              <w14:srgbClr w14:val="FF644E"/>
            </w14:solidFill>
          </w14:textFill>
        </w:rPr>
        <w:t>assessment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/people/</w:t>
      </w:r>
      <w:r>
        <w:rPr>
          <w:outline w:val="0"/>
          <w:color w:val="fe634d"/>
          <w:rtl w:val="0"/>
          <w:lang w:val="it-IT"/>
          <w14:textFill>
            <w14:solidFill>
              <w14:srgbClr w14:val="FF644E"/>
            </w14:solidFill>
          </w14:textFill>
        </w:rPr>
        <w:t>socio-economical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 movements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Toward Resilient Urban Design: Pedestrians as an Important Element of City Design</w:t>
      </w:r>
    </w:p>
    <w:p>
      <w:pPr>
        <w:pStyle w:val="Default"/>
      </w:pPr>
    </w:p>
    <w:p>
      <w:pPr>
        <w:pStyle w:val="Default"/>
        <w:spacing w:before="0" w:line="240" w:lineRule="auto"/>
      </w:pPr>
    </w:p>
    <w:p>
      <w:pPr>
        <w:pStyle w:val="Default"/>
        <w:spacing w:before="0" w:line="240" w:lineRule="auto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Deal with purely non-physical or non-spatial subjects: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Assemblage relates to manufacture; participatory relates to process (and implies to policy)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A systematic strategy for the architecture design of collaborative and reconfigurable assembly lines</w:t>
      </w:r>
    </w:p>
    <w:p>
      <w:pPr>
        <w:pStyle w:val="Default"/>
        <w:spacing w:before="0" w:line="240" w:lineRule="auto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Mixed-use (multi-function)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—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lack of time dimension</w:t>
      </w:r>
    </w:p>
    <w:p>
      <w:pPr>
        <w:pStyle w:val="Default"/>
        <w:spacing w:before="0" w:line="240" w:lineRule="auto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Rural areas, instead of urban environments, as the context</w:t>
      </w:r>
    </w:p>
    <w:p>
      <w:pPr>
        <w:pStyle w:val="Default"/>
        <w:spacing w:before="0" w:line="240" w:lineRule="auto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Abstract values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— </w:t>
      </w:r>
      <w:r>
        <w:rPr>
          <w:outline w:val="0"/>
          <w:color w:val="fe634d"/>
          <w:rtl w:val="0"/>
          <w:lang w:val="fr-FR"/>
          <w14:textFill>
            <w14:solidFill>
              <w14:srgbClr w14:val="FF644E"/>
            </w14:solidFill>
          </w14:textFill>
        </w:rPr>
        <w:t>philosophical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/cultural/artisitical values, instead of social-economical values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Responsive cohesion in the art and artfulness of urban design: some case studies in Helsinki</w:t>
      </w:r>
    </w:p>
    <w:p>
      <w:pPr>
        <w:pStyle w:val="Default"/>
        <w:spacing w:before="0" w:line="240" w:lineRule="auto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Fluctuations/Events/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Emptiness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 almost without fluctuation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—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lack of temporal dimension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Light beams and architecture marked celestial events in colonial churches and missions in new Spain and Per</w:t>
      </w:r>
      <w:r>
        <w:rPr>
          <w:rtl w:val="0"/>
        </w:rPr>
        <w:t>ú</w:t>
      </w:r>
      <w:r>
        <w:rPr>
          <w:rtl w:val="0"/>
          <w:lang w:val="en-US"/>
        </w:rPr>
        <w:t>: New evidence from Morelia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The Ethics of the Empty Church: Anglicanism's Need for a Theology of Architecture</w:t>
      </w:r>
    </w:p>
    <w:p>
      <w:pPr>
        <w:pStyle w:val="Default"/>
        <w:spacing w:before="0" w:line="240" w:lineRule="auto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Purely managerial, about scheduling</w:t>
      </w:r>
      <w:r>
        <w:rPr>
          <w:outline w:val="0"/>
          <w:color w:val="fe634d"/>
          <w:rtl w:val="0"/>
          <w:lang w:val="zh-CN" w:eastAsia="zh-CN"/>
          <w14:textFill>
            <w14:solidFill>
              <w14:srgbClr w14:val="FF644E"/>
            </w14:solidFill>
          </w14:textFill>
        </w:rPr>
        <w:t>/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routing or e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lectrical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e</w:t>
      </w:r>
      <w:r>
        <w:rPr>
          <w:outline w:val="0"/>
          <w:color w:val="fe634d"/>
          <w:rtl w:val="0"/>
          <w:lang w:val="nl-NL"/>
          <w14:textFill>
            <w14:solidFill>
              <w14:srgbClr w14:val="FF644E"/>
            </w14:solidFill>
          </w14:textFill>
        </w:rPr>
        <w:t>ngineering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Stable and robust train routing in station areas with balanced infrastructure capacity occupation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A systematic analysis of multimodal transport systems with road space distribution and responsive bus service</w:t>
      </w:r>
    </w:p>
    <w:p>
      <w:pPr>
        <w:pStyle w:val="Default"/>
        <w:spacing w:before="0" w:line="240" w:lineRule="auto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Only deal with railway platforms</w:t>
      </w:r>
    </w:p>
    <w:p>
      <w:pPr>
        <w:pStyle w:val="Default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Too abstract to understand/transfer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Network redesign for efficient crowd flow and evacuation</w:t>
      </w:r>
    </w:p>
    <w:p>
      <w:pPr>
        <w:pStyle w:val="Default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zh-CN" w:eastAsia="zh-CN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zh-CN" w:eastAsia="zh-CN"/>
          <w14:textFill>
            <w14:solidFill>
              <w14:srgbClr w14:val="FF644E"/>
            </w14:solidFill>
          </w14:textFill>
        </w:rPr>
        <w:t xml:space="preserve">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About history, at a large temporal scales, with</w:t>
      </w:r>
      <w:r>
        <w:rPr>
          <w:outline w:val="0"/>
          <w:color w:val="fe634d"/>
          <w:rtl w:val="0"/>
          <w14:textFill>
            <w14:solidFill>
              <w14:srgbClr w14:val="FF644E"/>
            </w14:solidFill>
          </w14:textFill>
        </w:rPr>
        <w:t xml:space="preserve">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knowledge that is hardly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transferrable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Janda, M. (2022). History and Role of the Main Railway Station in the Urban Development of Rzesz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w. Wiadomosci Konserwatorskie, 2022(71), 79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93.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Ye-Kyeong, S. (2013). Axes of urban growth: Urbanization and railway stations in Seoul, 1900-1945. Planning Perspectives, 28(4), 628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639.</w:t>
      </w:r>
    </w:p>
    <w:p>
      <w:pPr>
        <w:pStyle w:val="Default"/>
        <w:rPr>
          <w:outline w:val="0"/>
          <w:color w:val="1cb000"/>
          <w14:textFill>
            <w14:solidFill>
              <w14:srgbClr w14:val="1DB100"/>
            </w14:solidFill>
          </w14:textFill>
        </w:rPr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zh-CN" w:eastAsia="zh-CN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zh-CN" w:eastAsia="zh-CN"/>
          <w14:textFill>
            <w14:solidFill>
              <w14:srgbClr w14:val="FF644E"/>
            </w14:solidFill>
          </w14:textFill>
        </w:rPr>
        <w:t xml:space="preserve">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Only about art and installation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Miles, M. (1996). Art and craft in urban design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en-US"/>
        </w:rPr>
        <w:t>The possibilities for collaboration. Urban Design International, 1(1), 81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88.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Bullivant, L. (2005). Interactive Urban Design as Event: Christian Moeller. Architectural Design, 75(1), 62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67. </w:t>
      </w:r>
    </w:p>
    <w:p>
      <w:pPr>
        <w:pStyle w:val="Default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zh-CN" w:eastAsia="zh-CN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zh-CN" w:eastAsia="zh-CN"/>
          <w14:textFill>
            <w14:solidFill>
              <w14:srgbClr w14:val="FF644E"/>
            </w14:solidFill>
          </w14:textFill>
        </w:rPr>
        <w:t xml:space="preserve">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About railway stations, but have no </w:t>
      </w:r>
      <w:r>
        <w:rPr>
          <w:outline w:val="0"/>
          <w:color w:val="fe634d"/>
          <w:rtl w:val="0"/>
          <w:lang w:val="fr-FR"/>
          <w14:textFill>
            <w14:solidFill>
              <w14:srgbClr w14:val="FF644E"/>
            </w14:solidFill>
          </w14:textFill>
        </w:rPr>
        <w:t xml:space="preserve">relevance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with fluctuation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Carmona, M. (2006). Designing mega-projects in Hong Kong: Reflections from an academic accomplice. Journal of Urban Design, 11(1), 105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124.</w:t>
      </w:r>
    </w:p>
    <w:p>
      <w:pPr>
        <w:pStyle w:val="Default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zh-CN" w:eastAsia="zh-CN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zh-CN" w:eastAsia="zh-CN"/>
          <w14:textFill>
            <w14:solidFill>
              <w14:srgbClr w14:val="FF644E"/>
            </w14:solidFill>
          </w14:textFill>
        </w:rPr>
        <w:t xml:space="preserve">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Search for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“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Termporary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”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, but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“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Contemporary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” 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resulted</w:t>
      </w:r>
    </w:p>
    <w:p>
      <w:pPr>
        <w:pStyle w:val="Default"/>
      </w:pPr>
      <w:r>
        <w:rPr>
          <w:rFonts w:cs="Arial Unicode MS" w:eastAsia="Arial Unicode MS"/>
          <w:rtl w:val="0"/>
          <w:lang w:val="fr-FR"/>
        </w:rPr>
        <w:t>Carmona, M. (2010). Contemporary Public Space: Critique and Classification, Part One: Critique. Journal of Urban Design, 15(1), 123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148.</w:t>
      </w:r>
    </w:p>
    <w:p>
      <w:pPr>
        <w:pStyle w:val="Default"/>
      </w:pPr>
    </w:p>
    <w:p>
      <w:pPr>
        <w:pStyle w:val="Heading"/>
        <w:numPr>
          <w:ilvl w:val="0"/>
          <w:numId w:val="2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‘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 xml:space="preserve">Architecture' as a term in computer science </w:t>
      </w:r>
    </w:p>
    <w:p>
      <w:pPr>
        <w:pStyle w:val="Default"/>
        <w:spacing w:before="0" w:line="240" w:lineRule="auto"/>
      </w:pPr>
      <w:r>
        <w:rPr>
          <w:rtl w:val="0"/>
          <w:lang w:val="en-US"/>
        </w:rPr>
        <w:t>A Mind-inspired Architecture for Adaptive HRI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0" w:line="192" w:lineRule="auto"/>
      <w:ind w:left="567" w:right="0" w:hanging="567"/>
      <w:jc w:val="left"/>
      <w:outlineLvl w:val="9"/>
    </w:pPr>
    <w:rPr>
      <w:rFonts w:ascii="Times Roman" w:cs="Times Roman" w:hAnsi="Times Roman" w:eastAsia="Times Roman"/>
      <w:b w:val="0"/>
      <w:bCs w:val="0"/>
      <w:i w:val="0"/>
      <w:iCs w:val="0"/>
      <w:caps w:val="0"/>
      <w:smallCaps w:val="0"/>
      <w:strike w:val="0"/>
      <w:dstrike w:val="0"/>
      <w:outline w:val="0"/>
      <w:color w:val="919191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929292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