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</w:pPr>
      <w:r>
        <w:rPr>
          <w:rFonts w:ascii="Arial" w:hAnsi="Arial" w:eastAsia="Microsoft YaHei"/>
          <w:b/>
          <w:color w:val="168A8B"/>
          <w:sz w:val="17"/>
        </w:rPr>
        <w:t>AGENTS’ LAST EXAM  /  DELIVERY RECOMMENDATION</w:t>
      </w:r>
    </w:p>
    <w:p>
      <w:pPr>
        <w:spacing w:after="100"/>
      </w:pPr>
      <w:r>
        <w:rPr>
          <w:rFonts w:ascii="Arial" w:hAnsi="Arial" w:eastAsia="Microsoft YaHei"/>
          <w:b/>
          <w:color w:val="17365D"/>
          <w:sz w:val="48"/>
        </w:rPr>
        <w:t>客户私有 ALE-style Benchmark</w:t>
      </w:r>
    </w:p>
    <w:p>
      <w:pPr>
        <w:spacing w:after="300"/>
      </w:pPr>
      <w:r>
        <w:rPr>
          <w:rFonts w:ascii="Arial" w:hAnsi="Arial" w:eastAsia="Microsoft YaHei"/>
          <w:b/>
          <w:color w:val="245B8A"/>
          <w:sz w:val="27"/>
        </w:rPr>
        <w:t>960–1,000 Workflows  /  1,490+ Runnable Instances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8F7F5"/>
            <w:tcBorders>
              <w:left w:val="single" w:sz="20" w:color="168A8B"/>
            </w:tcBorders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i w:val="0"/>
                <w:color w:val="17365D"/>
                <w:sz w:val="20"/>
              </w:rPr>
              <w:t>建议：</w:t>
            </w:r>
            <w:r>
              <w:rPr>
                <w:rFonts w:ascii="Calibri" w:hAnsi="Calibri" w:eastAsia="Microsoft YaHei"/>
                <w:i w:val="0"/>
                <w:color w:val="17365D"/>
                <w:sz w:val="20"/>
              </w:rPr>
              <w:t>复刻 ALE 的测量架构，而不是公开题面；为单一客户交付 960 个 final-accepted workflows、1,490 个 final-QC instances，外部公开比例为零。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1800"/>
        <w:gridCol w:w="8194"/>
      </w:tblGrid>
      <w:tr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5B6673"/>
                <w:sz w:val="17"/>
              </w:rPr>
              <w:t>文档</w:t>
            </w:r>
          </w:p>
        </w:tc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color w:val="1F2937"/>
                <w:sz w:val="17"/>
              </w:rPr>
              <w:t>Interview brief v1；结论层，详细推导以 GitHub 长报告为准</w:t>
            </w:r>
          </w:p>
        </w:tc>
      </w:tr>
      <w:tr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5B6673"/>
                <w:sz w:val="17"/>
              </w:rPr>
              <w:t>冻结日</w:t>
            </w:r>
          </w:p>
        </w:tc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color w:val="1F2937"/>
                <w:sz w:val="17"/>
              </w:rPr>
              <w:t>2026-08-09</w:t>
            </w:r>
          </w:p>
        </w:tc>
      </w:tr>
      <w:tr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5B6673"/>
                <w:sz w:val="17"/>
              </w:rPr>
              <w:t>ALE 基线</w:t>
            </w:r>
          </w:p>
        </w:tc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color w:val="1F2937"/>
                <w:sz w:val="17"/>
              </w:rPr>
              <w:t>arXiv 2606.05405v2；Git 1e615e4…；HF a8c1fd1…</w:t>
            </w:r>
          </w:p>
        </w:tc>
      </w:tr>
      <w:tr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5B6673"/>
                <w:sz w:val="17"/>
              </w:rPr>
              <w:t>Hook 来源</w:t>
            </w:r>
          </w:p>
        </w:tc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color w:val="1F2937"/>
                <w:sz w:val="17"/>
              </w:rPr>
              <w:t>2026-08-02 发布的官方录像；现场演讲日期为 2026-06-30</w:t>
            </w:r>
          </w:p>
        </w:tc>
      </w:tr>
    </w:tbl>
    <w:p>
      <w:pPr>
        <w:spacing w:before="320" w:after="40"/>
      </w:pPr>
      <w:r>
        <w:rPr>
          <w:rFonts w:ascii="Arial" w:hAnsi="Arial" w:eastAsia="Microsoft YaHei"/>
          <w:b/>
          <w:color w:val="168A8B"/>
          <w:sz w:val="16"/>
        </w:rPr>
        <w:t>Operating principle</w:t>
      </w:r>
    </w:p>
    <w:p>
      <w:pPr>
        <w:spacing w:after="0"/>
      </w:pPr>
      <w:r>
        <w:rPr>
          <w:rFonts w:ascii="Arial" w:hAnsi="Arial" w:eastAsia="Microsoft YaHei"/>
          <w:b/>
          <w:color w:val="17365D"/>
          <w:sz w:val="25"/>
        </w:rPr>
        <w:t>Build a private measurement system—not an annotation batch.</w:t>
      </w:r>
    </w:p>
    <w:p>
      <w:r>
        <w:br w:type="page"/>
      </w:r>
    </w:p>
    <w:p>
      <w:pPr>
        <w:pStyle w:val="Heading3"/>
      </w:pPr>
      <w:r>
        <w:rPr>
          <w:rFonts w:ascii="Calibri" w:hAnsi="Calibri" w:eastAsia="Microsoft YaHei"/>
          <w:b/>
          <w:i w:val="0"/>
          <w:color w:val="17365D"/>
          <w:sz w:val="23"/>
        </w:rPr>
        <w:t>阅读标签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事实：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固定论文、代码或数据直接支持。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建议：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本方案据此作出的产品和工程选择。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待冻结：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需要客户合同或 pilot 数据确定的执行参数。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开场：从公开榜单失真，到客户为什么需要私有 benchmark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本方案从 </w:t>
      </w:r>
      <w:r>
        <w:rPr>
          <w:rFonts w:ascii="Calibri" w:hAnsi="Calibri" w:eastAsia="Microsoft YaHei"/>
          <w:b/>
          <w:i w:val="0"/>
          <w:color w:val="1F2937"/>
          <w:sz w:val="21"/>
        </w:rPr>
        <w:t>2026 年 8 月 2 日发布的[官方录像](https://www.youtube.com/watch?v=-npY6XjM8CQ)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开始。录像记录了 Surge AI 的 Nick Heiner 在 2026 年 6 月 30 日 AI Engineer World’s Fair 上的演讲 *When Will The Benchmaxxing Plague End?*。它提出的核心问题不是“模型是否还能涨分”，而是：当公开题、脆弱 verifier 和排行榜激励共同成为优化目标时，分数可以继续上升，但人真正关心的工作价值未必同步上升。本文把演讲内容归纳为六个控制点：领域专家定义任务、真实工作输入、工具真实可用、题面与 verifier 双向覆盖、端到端 QC、私有 holdout 与主观任务的专业盲评。它们是问题框架，不是 ALE 有效性的独立证明。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ALE 能够解决公开题长期暴露后，分数越来越难代表“未见任务能力”的问题。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客户购买的不是另一份公开题库，而是一座只服务于自身决策的私有 benchmark warehouse：题面、输入、reference、evaluator 和正式运行记录均受控；development、validation、sealed final 与 rotation reserve 只是客户内部用途分区，外部公开比例为零。它不能证明绝对无污染，但能显著减少围绕固定公开题反复调参与查询的空间。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ALE 能够解决 benchmark task 与真实专业工作脱节的问题。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它把任务放回真实软件、输入、约束和交付物中：专家定义端到端 workflow 与成功标准，agent 在可复位环境内完成文件或系统状态，再由 task-specific evaluator 验证实际产物。测量对象因此是冻结配置下的完整 agent system，而不是脱离 harness、tools、environment、budget 和 retry policy 的裸模型。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因此，本项目不是复制 ALE 的公开题面，而是复刻它的测量架构，并把它建设成客户独占、可运行、可验证、可审计和可维护的私有产品。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1. 建议直接冻结的产品定义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8F7F5"/>
            <w:tcBorders>
              <w:left w:val="single" w:sz="22" w:color="19A7A8"/>
            </w:tcBorders>
            <w:tcMar>
              <w:top w:w="130" w:type="dxa"/>
              <w:start w:w="18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i/>
                <w:color w:val="17365D"/>
                <w:sz w:val="21"/>
              </w:rPr>
              <w:t xml:space="preserve">为单一客户建设一套原创、封闭、可运行的 ALE-style 私有 benchmark 仓库。基础交付包括 </w:t>
            </w:r>
            <w:r>
              <w:rPr>
                <w:rFonts w:ascii="Calibri" w:hAnsi="Calibri" w:eastAsia="Microsoft YaHei"/>
                <w:b/>
                <w:i/>
                <w:color w:val="17365D"/>
                <w:sz w:val="21"/>
              </w:rPr>
              <w:t>960 个通过最终验收的 distinct workflow packages</w:t>
            </w:r>
            <w:r>
              <w:rPr>
                <w:rFonts w:ascii="Calibri" w:hAnsi="Calibri" w:eastAsia="Microsoft YaHei"/>
                <w:i/>
                <w:color w:val="17365D"/>
                <w:sz w:val="21"/>
              </w:rPr>
              <w:t xml:space="preserve">，以及 </w:t>
            </w:r>
            <w:r>
              <w:rPr>
                <w:rFonts w:ascii="Calibri" w:hAnsi="Calibri" w:eastAsia="Microsoft YaHei"/>
                <w:b/>
                <w:i/>
                <w:color w:val="17365D"/>
                <w:sz w:val="21"/>
              </w:rPr>
              <w:t>1,490 个通过最终验收的 runnable instances</w:t>
            </w:r>
            <w:r>
              <w:rPr>
                <w:rFonts w:ascii="Calibri" w:hAnsi="Calibri" w:eastAsia="Microsoft YaHei"/>
                <w:i/>
                <w:color w:val="17365D"/>
                <w:sz w:val="21"/>
              </w:rPr>
              <w:t>；不设置对外 public release。若客户特有的语言、地区、软件、监管或高风险场景存在明确缺口，可新增最多 40 个 customer-specific workflows。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基础计数为：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W_base = 960 accepted distinct workflows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I_canonical = 960 accepted canonical instances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I_variant = 530 accepted additional instances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I_base = 1,490 final-QC accepted runnable instances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Public external release = 0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这是一项结构性复刻：复刻 taxonomy coverage、workflow→environment→reference→evaluator 的任务骨架、生产 QC 和私有治理；题面、输入、reference、grader 与环境资产必须原创或取得合法授权。ALE v2 的 1,490 条 inventory 包含 323 条 pending QC；本项目的 1,490 条必须全部 final-QC accepted，不能照抄其未完成状态。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每个 workflow 至少有一个 canonical instance；其余 530 个 instances 必须改变关键状态、信息可得性、约束、失败模式、reference 或决策边界。仅替换姓名、日期、seed 或表面数字的 pseudo-variant 不计数。完整计数与验收定义见</w:t>
      </w:r>
      <w:hyperlink r:id="rId11">
        <w:r>
          <w:rPr>
            <w:rFonts w:ascii="Calibri" w:hAnsi="Calibri" w:eastAsia="Microsoft YaHei"/>
            <w:color w:val="245B8A"/>
            <w:u w:val="single"/>
          </w:rPr>
          <w:t>范围与产品定义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2. 覆盖蓝图：沿用 ALE v2，而不是重新“选一千题”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ALE v2 的正式口径是 </w:t>
      </w:r>
      <w:r>
        <w:rPr>
          <w:rFonts w:ascii="Calibri" w:hAnsi="Calibri" w:eastAsia="Microsoft YaHei"/>
          <w:b/>
          <w:i w:val="0"/>
          <w:color w:val="1F2937"/>
          <w:sz w:val="21"/>
        </w:rPr>
        <w:t>13 个 domains、55 个 subdomains、1,490 个 instances</w:t>
      </w:r>
      <w:r>
        <w:rPr>
          <w:rFonts w:ascii="Calibri" w:hAnsi="Calibri" w:eastAsia="Microsoft YaHei"/>
          <w:i w:val="0"/>
          <w:color w:val="1F2937"/>
          <w:sz w:val="21"/>
        </w:rPr>
        <w:t xml:space="preserve">。Figure 2 另外显示 </w:t>
      </w:r>
      <w:r>
        <w:rPr>
          <w:rFonts w:ascii="Consolas" w:hAnsi="Consolas" w:eastAsia="Microsoft YaHei"/>
          <w:color w:val="17365D"/>
          <w:sz w:val="20"/>
        </w:rPr>
        <w:t>Other → Sports</w:t>
      </w:r>
      <w:r>
        <w:rPr>
          <w:rFonts w:ascii="Calibri" w:hAnsi="Calibri" w:eastAsia="Microsoft YaHei"/>
          <w:i w:val="0"/>
          <w:color w:val="1F2937"/>
          <w:sz w:val="21"/>
        </w:rPr>
        <w:t xml:space="preserve"> 残余条带；它使 subdomain 总数达到 55，但论文没有把 </w:t>
      </w:r>
      <w:r>
        <w:rPr>
          <w:rFonts w:ascii="Consolas" w:hAnsi="Consolas" w:eastAsia="Microsoft YaHei"/>
          <w:color w:val="17365D"/>
          <w:sz w:val="20"/>
        </w:rPr>
        <w:t>Other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定义为第 14 个正式 domain。基础交付直接冻结 Figure 2 的 instance vector，不再凭空发明另一套行业配额。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7DEE7"/>
          <w:left w:val="single" w:sz="4" w:color="D7DEE7"/>
          <w:bottom w:val="single" w:sz="4" w:color="D7DEE7"/>
          <w:right w:val="single" w:sz="4" w:color="D7DEE7"/>
          <w:insideH w:val="single" w:sz="4" w:color="D7DEE7"/>
          <w:insideV w:val="single" w:sz="4" w:color="D7DEE7"/>
        </w:tblBorders>
      </w:tblPr>
      <w:tblGrid>
        <w:gridCol w:w="5832"/>
        <w:gridCol w:w="1944"/>
        <w:gridCol w:w="2218"/>
      </w:tblGrid>
      <w:tr>
        <w:trPr>
          <w:cantSplit/>
          <w:tblHeader w:val="true"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顶层覆盖域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v2 instances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本项目重建 workflows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Engineering &amp; Architecture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368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238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Computing &amp; Mathematical Sciences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237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153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Visual &amp; Media Arts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226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147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Business &amp; Finance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189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121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Health &amp; Medicine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155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99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Life Sciences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111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70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Physical Sciences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46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Transportation &amp; Safety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35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Education &amp; Information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33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Psychology &amp; Neuroscience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27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Social Sciences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26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Agriculture &amp; Environment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19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Legal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15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Other → Sports（残余条带）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3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1F2937"/>
                <w:sz w:val="15"/>
              </w:rPr>
              <w:t>合计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1F2937"/>
                <w:sz w:val="15"/>
              </w:rPr>
              <w:t>1,490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1F2937"/>
                <w:sz w:val="15"/>
              </w:rPr>
              <w:t>960</w:t>
            </w:r>
          </w:p>
        </w:tc>
      </w:tr>
    </w:tbl>
    <w:p>
      <w:pPr>
        <w:spacing w:after="0" w:before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ALE 没有公开 960 workflows 的逐 subdomain manifest。因此，表中的 workflow 数不是 ALE 官方原表，而是本项目按 </w:t>
      </w:r>
      <w:r>
        <w:rPr>
          <w:rFonts w:ascii="Consolas" w:hAnsi="Consolas" w:eastAsia="Microsoft YaHei"/>
          <w:color w:val="17365D"/>
          <w:sz w:val="20"/>
        </w:rPr>
        <w:t>960 × subdomain instances / 1,490</w:t>
      </w:r>
      <w:r>
        <w:rPr>
          <w:rFonts w:ascii="Calibri" w:hAnsi="Calibri" w:eastAsia="Microsoft YaHei"/>
          <w:i w:val="0"/>
          <w:color w:val="1F2937"/>
          <w:sz w:val="21"/>
        </w:rPr>
        <w:t xml:space="preserve"> 使用 Hamilton largest-remainder rule 透明重建的生产配额。55 个 subdomains、逐项 instance/workflow 数和专家 sourcing lanes 见</w:t>
      </w:r>
      <w:hyperlink r:id="rId12">
        <w:r>
          <w:rPr>
            <w:rFonts w:ascii="Calibri" w:hAnsi="Calibri" w:eastAsia="Microsoft YaHei"/>
            <w:color w:val="245B8A"/>
            <w:u w:val="single"/>
          </w:rPr>
          <w:t>完整技术报告 §2.4、§4 与附录 E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3. 交付单位：不是 prompt，而是 runnable asset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一个计入付款与验收的 workflow package 至少包含：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1. </w:t>
      </w:r>
      <w:r>
        <w:rPr>
          <w:rFonts w:ascii="Consolas" w:hAnsi="Consolas" w:eastAsia="Microsoft YaHei"/>
          <w:color w:val="17365D"/>
          <w:sz w:val="19"/>
        </w:rPr>
        <w:t>workflow_id</w:t>
      </w:r>
      <w:r>
        <w:rPr>
          <w:rFonts w:ascii="Calibri" w:hAnsi="Calibri" w:eastAsia="Microsoft YaHei"/>
          <w:i w:val="0"/>
          <w:color w:val="1F2937"/>
          <w:sz w:val="20"/>
        </w:rPr>
        <w:t>、专业目标、能力边界、输出和 evaluator contract；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2. </w:t>
      </w:r>
      <w:r>
        <w:rPr>
          <w:rFonts w:ascii="Calibri" w:hAnsi="Calibri" w:eastAsia="Microsoft YaHei"/>
          <w:i w:val="0"/>
          <w:color w:val="1F2937"/>
          <w:sz w:val="20"/>
        </w:rPr>
        <w:t>participant-visible task spec 与经过授权的 input pack；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3. </w:t>
      </w:r>
      <w:r>
        <w:rPr>
          <w:rFonts w:ascii="Calibri" w:hAnsi="Calibri" w:eastAsia="Microsoft YaHei"/>
          <w:i w:val="0"/>
          <w:color w:val="1F2937"/>
          <w:sz w:val="20"/>
        </w:rPr>
        <w:t>可复位 environment、软件版本、license、credential 与 network policy；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4. </w:t>
      </w:r>
      <w:r>
        <w:rPr>
          <w:rFonts w:ascii="Calibri" w:hAnsi="Calibri" w:eastAsia="Microsoft YaHei"/>
          <w:i w:val="0"/>
          <w:color w:val="1F2937"/>
          <w:sz w:val="20"/>
        </w:rPr>
        <w:t>hidden reference、合法等价解空间和 versioned evaluator；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5. </w:t>
      </w:r>
      <w:r>
        <w:rPr>
          <w:rFonts w:ascii="Calibri" w:hAnsi="Calibri" w:eastAsia="Microsoft YaHei"/>
          <w:i w:val="0"/>
          <w:color w:val="1F2937"/>
          <w:sz w:val="20"/>
        </w:rPr>
        <w:t>evaluator unit tests、adversarial fixtures 与人工仲裁规则；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6. </w:t>
      </w:r>
      <w:r>
        <w:rPr>
          <w:rFonts w:ascii="Calibri" w:hAnsi="Calibri" w:eastAsia="Microsoft YaHei"/>
          <w:i w:val="0"/>
          <w:color w:val="1F2937"/>
          <w:sz w:val="20"/>
        </w:rPr>
        <w:t>author demo、independent solve、domain review、rights/security clearance 与 final approval；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7. </w:t>
      </w:r>
      <w:r>
        <w:rPr>
          <w:rFonts w:ascii="Calibri" w:hAnsi="Calibri" w:eastAsia="Microsoft YaHei"/>
          <w:i w:val="0"/>
          <w:color w:val="1F2937"/>
          <w:sz w:val="20"/>
        </w:rPr>
        <w:t>release manifest、运行证据、版本、incident、rotation 与 retirement 记录。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Idea、submission、spec-only task、pending-QC 条目、重复 workflow、cosmetic variant、retry、regrade 和缺陷修复都不增加正式计数。完整 schema 见</w:t>
      </w:r>
      <w:hyperlink r:id="rId13">
        <w:r>
          <w:rPr>
            <w:rFonts w:ascii="Calibri" w:hAnsi="Calibri" w:eastAsia="Microsoft YaHei"/>
            <w:color w:val="245B8A"/>
            <w:u w:val="single"/>
          </w:rPr>
          <w:t>技术蓝图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4. 生产系统：Golden case → Batch zero → 分波次扩产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我会把过去项目中使用的 Golden case、guideline、batch zero 和 reviewer 晋升机制，升级为以下 stage-gated 生产线：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7DEE7"/>
          <w:left w:val="single" w:sz="4" w:color="D7DEE7"/>
          <w:bottom w:val="single" w:sz="4" w:color="D7DEE7"/>
          <w:right w:val="single" w:sz="4" w:color="D7DEE7"/>
          <w:insideH w:val="single" w:sz="4" w:color="D7DEE7"/>
          <w:insideV w:val="single" w:sz="4" w:color="D7DEE7"/>
        </w:tblBorders>
      </w:tblPr>
      <w:tblGrid>
        <w:gridCol w:w="1224"/>
        <w:gridCol w:w="3456"/>
        <w:gridCol w:w="5314"/>
      </w:tblGrid>
      <w:tr>
        <w:trPr>
          <w:cantSplit/>
          <w:tblHeader w:val="true"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Gate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核心动作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放行证据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G0 Scope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冻结 intended use、claims、计数、权利和运行边界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批准的 SOW / manifest schema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G1 Golden case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Group Lead 跑通真实 workflow，形成 scenario matrix、rubric、checklist 与答疑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executable evidence pack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G2 Batch zero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少量最匹配专家独立生产与互审，隔离 guideline、expert、case、environment、evaluator 与 rights 根因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分歧与返工账本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G3 Authoring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按 subdomain、软件、法域和风险招募、校准、分批生产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accepted spec/input/reference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G4 Engineering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构建可复位环境和 versioned evaluator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clean-room dry-run 与 tests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G5 Independent validation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未参与创作的 solver、domain reviewer 与 evaluator engineer 做盲测和 red team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gold/bad/alternate/near-miss fixtures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G6 Final acceptance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Rights/Security Owner 与 Final Approver 签字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accepted workflow/instance manifest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G7 Release &amp; operate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分配客户私有用途池，冻结 run identity，持续 incident/rotation/retirement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signed release manifest</w:t>
            </w:r>
          </w:p>
        </w:tc>
      </w:tr>
    </w:tbl>
    <w:p>
      <w:pPr>
        <w:spacing w:after="0" w:before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RACI 的硬约束是职责分离：author、environment builder 或 evaluator engineer 不能单独批准自己构建的资产；reviewer 是 assurance authority，不是对优秀 author 的荣誉升级。完整 RACI 与专家治理见</w:t>
      </w:r>
      <w:hyperlink r:id="rId14">
        <w:r>
          <w:rPr>
            <w:rFonts w:ascii="Calibri" w:hAnsi="Calibri" w:eastAsia="Microsoft YaHei"/>
            <w:color w:val="245B8A"/>
            <w:u w:val="single"/>
          </w:rPr>
          <w:t>专家生产治理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5. 分数可信度：evaluator 与环境是产品核心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Evaluator 必须建立 </w:t>
      </w:r>
      <w:r>
        <w:rPr>
          <w:rFonts w:ascii="Consolas" w:hAnsi="Consolas" w:eastAsia="Microsoft YaHei"/>
          <w:color w:val="17365D"/>
          <w:sz w:val="20"/>
        </w:rPr>
        <w:t>requirement → construct → reference → check → evidence → fixture</w:t>
      </w:r>
      <w:r>
        <w:rPr>
          <w:rFonts w:ascii="Calibri" w:hAnsi="Calibri" w:eastAsia="Microsoft YaHei"/>
          <w:i w:val="0"/>
          <w:color w:val="1F2937"/>
          <w:sz w:val="21"/>
        </w:rPr>
        <w:t xml:space="preserve"> 的双向链。最低测试族包括 gold、known-bad、alternate-correct、near-miss、boundary、corrupt artifact、mutation、metamorphic、shortcut、tamper 与 environment-failure。主观或高风险维度才引入专业盲评；不能把 LLM judge 当成 validity 的替代品。详见</w:t>
      </w:r>
      <w:hyperlink r:id="rId15">
        <w:r>
          <w:rPr>
            <w:rFonts w:ascii="Calibri" w:hAnsi="Calibri" w:eastAsia="Microsoft YaHei"/>
            <w:color w:val="245B8A"/>
            <w:u w:val="single"/>
          </w:rPr>
          <w:t>evaluator validity 与 integrity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运行架构采用统一 control plane、多 substrate、独立 judge plane。一次结果的身份不是 image tag，而是 </w:t>
      </w:r>
      <w:r>
        <w:rPr>
          <w:rFonts w:ascii="Consolas" w:hAnsi="Consolas" w:eastAsia="Microsoft YaHei"/>
          <w:color w:val="17365D"/>
          <w:sz w:val="20"/>
        </w:rPr>
        <w:t>release manifest + resolved launch attestation + task/harness/evaluator bundle</w:t>
      </w:r>
      <w:r>
        <w:rPr>
          <w:rFonts w:ascii="Calibri" w:hAnsi="Calibri" w:eastAsia="Microsoft YaHei"/>
          <w:i w:val="0"/>
          <w:color w:val="1F2937"/>
          <w:sz w:val="21"/>
        </w:rPr>
        <w:t>。Hidden reference 默认不进入 execution plane；credential、license、network、evidence 与 judge 分区。详见</w:t>
      </w:r>
      <w:hyperlink r:id="rId16">
        <w:r>
          <w:rPr>
            <w:rFonts w:ascii="Calibri" w:hAnsi="Calibri" w:eastAsia="Microsoft YaHei"/>
            <w:color w:val="245B8A"/>
            <w:u w:val="single"/>
          </w:rPr>
          <w:t>环境与执行参考架构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6. Pilot 的作用：测量扩产参数，不重开产品定义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Pilot 不再决定“做哪些 domain”或“要不要做 960/1,490”；这些已由 ALE-v2-matched base layer 冻结。它只回答能否以可接受的质量、成本和风险扩产，并实测以下参数：各角色 service hours 与 throughput、stage yields、返工、evaluator 误拒/误放、environment failure、trial variance、expert supply、license friction 与 reserve burn。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N_ideas_required ≈ 960 / Π(stage acceptance yield)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Capacity_stage = available role hours / service hours per accepted unit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T_release = T_pilot + max(T_sourcing, T_evaluator, T_environment_and_legal)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          + T_integration_QA + T_rework + T_freeze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Advance、repair、rescope 与 stop gates 在 pilot 前预注册；具体人数、周期、预算和 SLA 在 pilot 后由实测参数进入合同。它们不是还缺一次 desk research，而是必须由客户约束和本项目数据决定。完整扩产公式见</w:t>
      </w:r>
      <w:hyperlink r:id="rId12">
        <w:r>
          <w:rPr>
            <w:rFonts w:ascii="Calibri" w:hAnsi="Calibri" w:eastAsia="Microsoft YaHei"/>
            <w:color w:val="245B8A"/>
            <w:u w:val="single"/>
          </w:rPr>
          <w:t>完整技术报告 §10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7. 付款、验收与私有用途隔离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7DEE7"/>
          <w:left w:val="single" w:sz="4" w:color="D7DEE7"/>
          <w:bottom w:val="single" w:sz="4" w:color="D7DEE7"/>
          <w:right w:val="single" w:sz="4" w:color="D7DEE7"/>
          <w:insideH w:val="single" w:sz="4" w:color="D7DEE7"/>
          <w:insideV w:val="single" w:sz="4" w:color="D7DEE7"/>
        </w:tblBorders>
      </w:tblPr>
      <w:tblGrid>
        <w:gridCol w:w="1944"/>
        <w:gridCol w:w="2952"/>
        <w:gridCol w:w="5098"/>
      </w:tblGrid>
      <w:tr>
        <w:trPr>
          <w:cantSplit/>
          <w:tblHeader w:val="true"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Manifest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验收对象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计费边界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Base Workflow Acceptance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960 个 distinct workflow packages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通过全部 gates；含 canonical instance、环境、reference、evaluator、rights 与 final approval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Additional Instance Acceptance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530 个有边际测量价值的 instances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明确 parent workflow 与 variation dimension；cosmetic variant 不计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Gap-fill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0–40 个 customer-specific workflows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仅在客户缺口有书面证据和 change approval 时启用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Run &amp; Service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QA、repeats、正式评测、托管、算力与 licensed software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与 workflow/instance 数量分账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Change / Repair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版本升级、incident、regrade、replacement 与 retirement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供应方缺陷修复不得伪装成新增资产</w:t>
            </w:r>
          </w:p>
        </w:tc>
      </w:tr>
    </w:tbl>
    <w:p>
      <w:pPr>
        <w:spacing w:after="0" w:before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所有资产在商业访问意义上均为客户私有，但用途必须隔离：development/integration、restricted validation、sealed private final、private rotation reserve、retired audit archive；只有合同明确允许时才建立 training pool。任何进入训练或被反复调试的 concrete instance，永久失去 unseen-final 身份。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8. 原创 worked task：B2B SaaS 营销绩效与预算重分配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为展示方法如何落地，我会提供一个 Business &amp; Finance workflow：agent 在 fresh Windows VM 中使用 spreadsheet 工具，核对广告平台、CRM、订阅/退款和财务确认收入，交付可审计 workbook 与一页决策 memo。Hidden reference 保存 canonical ledger、join relations、metric invariants、预算约束和多个合法解；evaluator 检查文件完整性、reconciliation、时区/币种/归因、指标 lineage、预算 feasibility 与 memo 数字一致性，并用重复 ID、缺失 UTM、refund lag、跨币种、外链注入和不可行预算等 red-team cases 验证 scorer。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这一题把 </w:t>
      </w:r>
      <w:r>
        <w:rPr>
          <w:rFonts w:ascii="Consolas" w:hAnsi="Consolas" w:eastAsia="Microsoft YaHei"/>
          <w:color w:val="17365D"/>
          <w:sz w:val="20"/>
        </w:rPr>
        <w:t>workflow → inputs → environment → reference → evaluator → red team → QC → release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全链闭合，同时允许多种满足约束的预算方案，不把“与标准答案不同”误判为错误。完整 task card 见</w:t>
      </w:r>
      <w:hyperlink r:id="rId12">
        <w:r>
          <w:rPr>
            <w:rFonts w:ascii="Calibri" w:hAnsi="Calibri" w:eastAsia="Microsoft YaHei"/>
            <w:color w:val="245B8A"/>
            <w:u w:val="single"/>
          </w:rPr>
          <w:t>完整技术报告 §11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9. 能够声称什么，以及下一步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这套产品能够支持的结论是：在冻结的 ALE-v2-matched coverage、配置、affordance、预算和 evaluator revision 下，一个 agent system 对客户私有专业 workflows 的完成表现、失败结构、成本和稳定性。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它不能自动证明 human parity、岗位替代、总体经济影响、真实部署可靠性、整个职业市场代表性或绝对无污染。若客户需要 matched-human，主臂应为近期仍在实践、未参与出题、与目标 workflow 匹配的 experts，并匹配 instruction、software、internet、time、attempts 和 output contract；generalist、author 与 human+AI 必须分臂报告。统计与 human protocol 见</w:t>
      </w:r>
      <w:hyperlink r:id="rId17">
        <w:r>
          <w:rPr>
            <w:rFonts w:ascii="Calibri" w:hAnsi="Calibri" w:eastAsia="Microsoft YaHei"/>
            <w:color w:val="245B8A"/>
            <w:u w:val="single"/>
          </w:rPr>
          <w:t>统计和 matched-human 方案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当前不需要再提出新的 deep-research 问题。</w:t>
      </w:r>
      <w:r>
        <w:rPr>
          <w:rFonts w:ascii="Calibri" w:hAnsi="Calibri" w:eastAsia="Microsoft YaHei"/>
          <w:i w:val="0"/>
          <w:color w:val="1F2937"/>
          <w:sz w:val="21"/>
        </w:rPr>
        <w:t xml:space="preserve"> 11 个研究模块已经覆盖产品、taxonomy、production、RACI、evaluator、environment、statistics、human baseline、integrity、living governance、pilot 和 worked task。下一步是由客户在立项时冻结 intended use/claims、语言与地区、软件与 license、run budget、维护/incident SLA、Benchmark Owner、Rights/Security Owner、Final Approver，以及是否采购持续托管与运行服务。这些是合同决策，不是桌面研究缺口。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进一步阅读</w:t>
      </w:r>
    </w:p>
    <w:p>
      <w:pPr>
        <w:pStyle w:val="ListBullet"/>
      </w:pPr>
      <w:hyperlink r:id="rId12">
        <w:r>
          <w:rPr>
            <w:rFonts w:ascii="Calibri" w:hAnsi="Calibri" w:eastAsia="Microsoft YaHei"/>
            <w:color w:val="245B8A"/>
            <w:u w:val="single"/>
          </w:rPr>
          <w:t>完整技术报告：960 workflows / 1,490 instances</w:t>
        </w:r>
      </w:hyperlink>
    </w:p>
    <w:p>
      <w:pPr>
        <w:pStyle w:val="ListBullet"/>
      </w:pPr>
      <w:hyperlink r:id="rId13">
        <w:r>
          <w:rPr>
            <w:rFonts w:ascii="Calibri" w:hAnsi="Calibri" w:eastAsia="Microsoft YaHei"/>
            <w:color w:val="245B8A"/>
            <w:u w:val="single"/>
          </w:rPr>
          <w:t>ALE 技术蓝图与版本审计</w:t>
        </w:r>
      </w:hyperlink>
    </w:p>
    <w:p>
      <w:pPr>
        <w:pStyle w:val="ListBullet"/>
      </w:pPr>
      <w:hyperlink r:id="rId14">
        <w:r>
          <w:rPr>
            <w:rFonts w:ascii="Calibri" w:hAnsi="Calibri" w:eastAsia="Microsoft YaHei"/>
            <w:color w:val="245B8A"/>
            <w:u w:val="single"/>
          </w:rPr>
          <w:t>专家生产治理与完整 RACI</w:t>
        </w:r>
      </w:hyperlink>
    </w:p>
    <w:p>
      <w:pPr>
        <w:pStyle w:val="ListBullet"/>
      </w:pPr>
      <w:hyperlink r:id="rId15">
        <w:r>
          <w:rPr>
            <w:rFonts w:ascii="Calibri" w:hAnsi="Calibri" w:eastAsia="Microsoft YaHei"/>
            <w:color w:val="245B8A"/>
            <w:u w:val="single"/>
          </w:rPr>
          <w:t>Evaluator validity 与评分完整性</w:t>
        </w:r>
      </w:hyperlink>
    </w:p>
    <w:p>
      <w:pPr>
        <w:pStyle w:val="ListBullet"/>
      </w:pPr>
      <w:hyperlink r:id="rId16">
        <w:r>
          <w:rPr>
            <w:rFonts w:ascii="Calibri" w:hAnsi="Calibri" w:eastAsia="Microsoft YaHei"/>
            <w:color w:val="245B8A"/>
            <w:u w:val="single"/>
          </w:rPr>
          <w:t>Environment execution reference architecture</w:t>
        </w:r>
      </w:hyperlink>
    </w:p>
    <w:p>
      <w:pPr>
        <w:pStyle w:val="ListBullet"/>
      </w:pPr>
      <w:hyperlink r:id="rId18">
        <w:r>
          <w:rPr>
            <w:rFonts w:ascii="Calibri" w:hAnsi="Calibri" w:eastAsia="Microsoft YaHei"/>
            <w:color w:val="245B8A"/>
            <w:u w:val="single"/>
          </w:rPr>
          <w:t>Living benchmark governance</w:t>
        </w:r>
      </w:hyperlink>
    </w:p>
    <w:p>
      <w:pPr>
        <w:pStyle w:val="ListBullet"/>
      </w:pPr>
      <w:hyperlink r:id="rId17">
        <w:r>
          <w:rPr>
            <w:rFonts w:ascii="Calibri" w:hAnsi="Calibri" w:eastAsia="Microsoft YaHei"/>
            <w:color w:val="245B8A"/>
            <w:u w:val="single"/>
          </w:rPr>
          <w:t>Statistics 与 matched-human protocol</w:t>
        </w:r>
      </w:hyperlink>
    </w:p>
    <w:sectPr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Arial" w:hAnsi="Arial" w:eastAsia="Microsoft YaHei"/>
        <w:color w:val="5B6673"/>
        <w:sz w:val="14"/>
      </w:rPr>
      <w:t xml:space="preserve">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Microsoft YaHei"/>
        <w:color w:val="5B6673"/>
        <w:sz w:val="14"/>
      </w:rPr>
      <w:t>PRIVATE ALE-STYLE BENCHMARK  /  INTERVIEW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84" w:line="250" w:lineRule="auto"/>
    </w:pPr>
    <w:rPr>
      <w:rFonts w:ascii="Arial" w:hAnsi="Arial" w:eastAsia="Microsoft YaHei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1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245B8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4" w:line="245" w:lineRule="auto"/>
      <w:ind w:left="346" w:hanging="230"/>
      <w:contextualSpacing/>
    </w:pPr>
    <w:rPr>
      <w:rFonts w:ascii="Arial" w:hAnsi="Arial" w:eastAsia="Microsoft YaHe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4" w:line="245" w:lineRule="auto"/>
      <w:ind w:left="346" w:hanging="230"/>
      <w:contextualSpacing/>
    </w:pPr>
    <w:rPr>
      <w:rFonts w:ascii="Arial" w:hAnsi="Arial" w:eastAsia="Microsoft YaHei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130U/agents-last-exam/blob/main/core/02-1000-task-delivery-design/01-scope-and-product-definition/decision-report-2026-08-08.md" TargetMode="External"/><Relationship Id="rId12" Type="http://schemas.openxmlformats.org/officeDocument/2006/relationships/hyperlink" Target="https://github.com/130U/agents-last-exam/blob/codex/ale-deliverable-draft-v1/core/00-executive-deliverables/drafts/ale-private-clone-960-workflows-1490-instances-delivery-report-draft-v3-2026-08-09.md" TargetMode="External"/><Relationship Id="rId13" Type="http://schemas.openxmlformats.org/officeDocument/2006/relationships/hyperlink" Target="https://github.com/130U/agents-last-exam/blob/main/core/02-1000-task-delivery-design/02-ale-blueprint-and-version-audit/technical-blueprint-2026-08-08.md" TargetMode="External"/><Relationship Id="rId14" Type="http://schemas.openxmlformats.org/officeDocument/2006/relationships/hyperlink" Target="https://github.com/130U/agents-last-exam/blob/main/core/02-1000-task-delivery-design/06-expert-production-governance/expert-production-governance-report-2026-08-09.md" TargetMode="External"/><Relationship Id="rId15" Type="http://schemas.openxmlformats.org/officeDocument/2006/relationships/hyperlink" Target="https://github.com/130U/agents-last-exam/blob/main/core/02-1000-task-delivery-design/07-evaluator-validity-and-integrity/evaluator-validity-and-scoring-integrity-report-2026-08-09.md" TargetMode="External"/><Relationship Id="rId16" Type="http://schemas.openxmlformats.org/officeDocument/2006/relationships/hyperlink" Target="https://github.com/130U/agents-last-exam/blob/main/core/02-1000-task-delivery-design/08-environment-execution-reference-architecture/environment-execution-reference-architecture-report-2026-08-09.md" TargetMode="External"/><Relationship Id="rId17" Type="http://schemas.openxmlformats.org/officeDocument/2006/relationships/hyperlink" Target="https://github.com/130U/agents-last-exam/blob/main/core/02-1000-task-delivery-design/10-statistical-and-matched-human-protocol/statistical-and-matched-human-protocol-2026-08-09.md" TargetMode="External"/><Relationship Id="rId18" Type="http://schemas.openxmlformats.org/officeDocument/2006/relationships/hyperlink" Target="https://github.com/130U/agents-last-exam/blob/main/core/02-1000-task-delivery-design/09-living-benchmark-governance/living-benchmark-governance-report-2026-08-09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客户私有 ALE-style Benchmark：交付建议书</dc:title>
  <dc:subject>960–1,000 workflows / 1,490+ runnable instances</dc:subject>
  <dc:creator/>
  <cp:keywords/>
  <dc:description>External interview brief; detailed evidence is linked in the repository.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