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240"/>
      </w:pPr>
      <w:r>
        <w:rPr>
          <w:rFonts w:ascii="Arial" w:hAnsi="Arial" w:eastAsia="Microsoft YaHei"/>
          <w:b/>
          <w:color w:val="168A8B"/>
          <w:sz w:val="17"/>
        </w:rPr>
        <w:t>AGENTS’ LAST EXAM  /  DELIVERY RECOMMENDATION</w:t>
      </w:r>
    </w:p>
    <w:p>
      <w:pPr>
        <w:spacing w:after="100"/>
      </w:pPr>
      <w:r>
        <w:rPr>
          <w:rFonts w:ascii="Arial" w:hAnsi="Arial" w:eastAsia="Microsoft YaHei"/>
          <w:b/>
          <w:color w:val="17365D"/>
          <w:sz w:val="48"/>
        </w:rPr>
        <w:t>客户私有 ALE-style Benchmark</w:t>
      </w:r>
    </w:p>
    <w:p>
      <w:pPr>
        <w:spacing w:after="300"/>
      </w:pPr>
      <w:r>
        <w:rPr>
          <w:rFonts w:ascii="Arial" w:hAnsi="Arial" w:eastAsia="Microsoft YaHei"/>
          <w:b/>
          <w:color w:val="245B8A"/>
          <w:sz w:val="27"/>
        </w:rPr>
        <w:t>960–1,000 Workflows  /  1,490+ Runnable Instances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fill="E8F7F5"/>
            <w:tcBorders>
              <w:left w:val="single" w:sz="20" w:color="168A8B"/>
            </w:tcBorders>
            <w:tcMar>
              <w:top w:w="130" w:type="dxa"/>
              <w:start w:w="170" w:type="dxa"/>
              <w:bottom w:w="130" w:type="dxa"/>
              <w:end w:w="17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i w:val="0"/>
                <w:color w:val="17365D"/>
                <w:sz w:val="20"/>
              </w:rPr>
              <w:t>建议：</w:t>
            </w:r>
            <w:r>
              <w:rPr>
                <w:rFonts w:ascii="Calibri" w:hAnsi="Calibri" w:eastAsia="Microsoft YaHei"/>
                <w:i w:val="0"/>
                <w:color w:val="17365D"/>
                <w:sz w:val="20"/>
              </w:rPr>
              <w:t>复刻 ALE 的测量架构，而不是公开题面；为单一客户交付 960 个 final-accepted workflows、1,490 个 final-QC instances，外部公开比例为零。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0" w:color="FFFFFF"/>
          <w:left w:val="single" w:sz="0" w:color="FFFFFF"/>
          <w:bottom w:val="single" w:sz="0" w:color="FFFFFF"/>
          <w:right w:val="single" w:sz="0" w:color="FFFFFF"/>
          <w:insideH w:val="single" w:sz="0" w:color="FFFFFF"/>
          <w:insideV w:val="single" w:sz="0" w:color="FFFFFF"/>
        </w:tblBorders>
      </w:tblPr>
      <w:tblGrid>
        <w:gridCol w:w="1800"/>
        <w:gridCol w:w="8194"/>
      </w:tblGrid>
      <w:tr>
        <w:tc>
          <w:tcPr>
            <w:tcW w:type="dxa" w:w="4997"/>
            <w:tcMar>
              <w:top w:w="55" w:type="dxa"/>
              <w:start w:w="0" w:type="dxa"/>
              <w:bottom w:w="55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Microsoft YaHei"/>
                <w:b/>
                <w:color w:val="5B6673"/>
                <w:sz w:val="17"/>
              </w:rPr>
              <w:t>文档</w:t>
            </w:r>
          </w:p>
        </w:tc>
        <w:tc>
          <w:tcPr>
            <w:tcW w:type="dxa" w:w="4997"/>
            <w:tcMar>
              <w:top w:w="55" w:type="dxa"/>
              <w:start w:w="0" w:type="dxa"/>
              <w:bottom w:w="55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Microsoft YaHei"/>
                <w:color w:val="1F2937"/>
                <w:sz w:val="17"/>
              </w:rPr>
              <w:t>Interview brief v1；结论层，详细推导以 GitHub 长报告为准</w:t>
            </w:r>
          </w:p>
        </w:tc>
      </w:tr>
      <w:tr>
        <w:tc>
          <w:tcPr>
            <w:tcW w:type="dxa" w:w="4997"/>
            <w:tcMar>
              <w:top w:w="55" w:type="dxa"/>
              <w:start w:w="0" w:type="dxa"/>
              <w:bottom w:w="55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Microsoft YaHei"/>
                <w:b/>
                <w:color w:val="5B6673"/>
                <w:sz w:val="17"/>
              </w:rPr>
              <w:t>冻结日</w:t>
            </w:r>
          </w:p>
        </w:tc>
        <w:tc>
          <w:tcPr>
            <w:tcW w:type="dxa" w:w="4997"/>
            <w:tcMar>
              <w:top w:w="55" w:type="dxa"/>
              <w:start w:w="0" w:type="dxa"/>
              <w:bottom w:w="55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Microsoft YaHei"/>
                <w:color w:val="1F2937"/>
                <w:sz w:val="17"/>
              </w:rPr>
              <w:t>2026-08-09</w:t>
            </w:r>
          </w:p>
        </w:tc>
      </w:tr>
      <w:tr>
        <w:tc>
          <w:tcPr>
            <w:tcW w:type="dxa" w:w="4997"/>
            <w:tcMar>
              <w:top w:w="55" w:type="dxa"/>
              <w:start w:w="0" w:type="dxa"/>
              <w:bottom w:w="55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Microsoft YaHei"/>
                <w:b/>
                <w:color w:val="5B6673"/>
                <w:sz w:val="17"/>
              </w:rPr>
              <w:t>ALE 基线</w:t>
            </w:r>
          </w:p>
        </w:tc>
        <w:tc>
          <w:tcPr>
            <w:tcW w:type="dxa" w:w="4997"/>
            <w:tcMar>
              <w:top w:w="55" w:type="dxa"/>
              <w:start w:w="0" w:type="dxa"/>
              <w:bottom w:w="55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Microsoft YaHei"/>
                <w:color w:val="1F2937"/>
                <w:sz w:val="17"/>
              </w:rPr>
              <w:t>arXiv 2606.05405v2；Git 1e615e4…；HF a8c1fd1…</w:t>
            </w:r>
          </w:p>
        </w:tc>
      </w:tr>
      <w:tr>
        <w:tc>
          <w:tcPr>
            <w:tcW w:type="dxa" w:w="4997"/>
            <w:tcMar>
              <w:top w:w="55" w:type="dxa"/>
              <w:start w:w="0" w:type="dxa"/>
              <w:bottom w:w="55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Microsoft YaHei"/>
                <w:b/>
                <w:color w:val="5B6673"/>
                <w:sz w:val="17"/>
              </w:rPr>
              <w:t>Hook 来源</w:t>
            </w:r>
          </w:p>
        </w:tc>
        <w:tc>
          <w:tcPr>
            <w:tcW w:type="dxa" w:w="4997"/>
            <w:tcMar>
              <w:top w:w="55" w:type="dxa"/>
              <w:start w:w="0" w:type="dxa"/>
              <w:bottom w:w="55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Microsoft YaHei"/>
                <w:color w:val="1F2937"/>
                <w:sz w:val="17"/>
              </w:rPr>
              <w:t>2026-08-02 发布的官方录像；现场演讲日期为 2026-06-30</w:t>
            </w:r>
          </w:p>
        </w:tc>
      </w:tr>
    </w:tbl>
    <w:p>
      <w:pPr>
        <w:spacing w:before="320" w:after="40"/>
      </w:pPr>
      <w:r>
        <w:rPr>
          <w:rFonts w:ascii="Arial" w:hAnsi="Arial" w:eastAsia="Microsoft YaHei"/>
          <w:b/>
          <w:color w:val="168A8B"/>
          <w:sz w:val="16"/>
        </w:rPr>
        <w:t>Operating principle</w:t>
      </w:r>
    </w:p>
    <w:p>
      <w:pPr>
        <w:spacing w:after="0"/>
      </w:pPr>
      <w:r>
        <w:rPr>
          <w:rFonts w:ascii="Arial" w:hAnsi="Arial" w:eastAsia="Microsoft YaHei"/>
          <w:b/>
          <w:color w:val="17365D"/>
          <w:sz w:val="25"/>
        </w:rPr>
        <w:t>Build a private measurement system—not an annotation batch.</w:t>
      </w:r>
    </w:p>
    <w:p>
      <w:r>
        <w:br w:type="page"/>
      </w:r>
    </w:p>
    <w:p>
      <w:pPr>
        <w:pStyle w:val="Heading3"/>
      </w:pPr>
      <w:r>
        <w:rPr>
          <w:rFonts w:ascii="Calibri" w:hAnsi="Calibri" w:eastAsia="Microsoft YaHei"/>
          <w:b/>
          <w:i w:val="0"/>
          <w:color w:val="17365D"/>
          <w:sz w:val="23"/>
        </w:rPr>
        <w:t>阅读标签</w:t>
      </w:r>
    </w:p>
    <w:p>
      <w:pPr>
        <w:pStyle w:val="ListBullet"/>
      </w:pPr>
      <w:r>
        <w:rPr>
          <w:rFonts w:ascii="Calibri" w:hAnsi="Calibri" w:eastAsia="Microsoft YaHei"/>
          <w:b/>
          <w:i w:val="0"/>
          <w:color w:val="1F2937"/>
          <w:sz w:val="20"/>
        </w:rPr>
        <w:t>事实：</w:t>
      </w:r>
      <w:r>
        <w:rPr>
          <w:rFonts w:ascii="Calibri" w:hAnsi="Calibri" w:eastAsia="Microsoft YaHei"/>
          <w:i w:val="0"/>
          <w:color w:val="1F2937"/>
          <w:sz w:val="20"/>
        </w:rPr>
        <w:t xml:space="preserve"> 固定论文、代码或数据直接支持。</w:t>
      </w:r>
    </w:p>
    <w:p>
      <w:pPr>
        <w:pStyle w:val="ListBullet"/>
      </w:pPr>
      <w:r>
        <w:rPr>
          <w:rFonts w:ascii="Calibri" w:hAnsi="Calibri" w:eastAsia="Microsoft YaHei"/>
          <w:b/>
          <w:i w:val="0"/>
          <w:color w:val="1F2937"/>
          <w:sz w:val="20"/>
        </w:rPr>
        <w:t>建议：</w:t>
      </w:r>
      <w:r>
        <w:rPr>
          <w:rFonts w:ascii="Calibri" w:hAnsi="Calibri" w:eastAsia="Microsoft YaHei"/>
          <w:i w:val="0"/>
          <w:color w:val="1F2937"/>
          <w:sz w:val="20"/>
        </w:rPr>
        <w:t xml:space="preserve"> 本方案据此作出的产品和工程选择。</w:t>
      </w:r>
    </w:p>
    <w:p>
      <w:pPr>
        <w:pStyle w:val="ListBullet"/>
      </w:pPr>
      <w:r>
        <w:rPr>
          <w:rFonts w:ascii="Calibri" w:hAnsi="Calibri" w:eastAsia="Microsoft YaHei"/>
          <w:b/>
          <w:i w:val="0"/>
          <w:color w:val="1F2937"/>
          <w:sz w:val="20"/>
        </w:rPr>
        <w:t>待冻结：</w:t>
      </w:r>
      <w:r>
        <w:rPr>
          <w:rFonts w:ascii="Calibri" w:hAnsi="Calibri" w:eastAsia="Microsoft YaHei"/>
          <w:i w:val="0"/>
          <w:color w:val="1F2937"/>
          <w:sz w:val="20"/>
        </w:rPr>
        <w:t xml:space="preserve"> 需要客户合同或 pilot 数据确定的执行参数。</w:t>
      </w:r>
    </w:p>
    <w:p>
      <w:pPr>
        <w:spacing w:before="40" w:after="80"/>
        <w:pBdr>
          <w:bottom w:val="single" w:sz="6" w:space="1" w:color="D9E2EC"/>
        </w:pBdr>
      </w:pPr>
    </w:p>
    <w:p>
      <w:pPr>
        <w:pStyle w:val="Heading1"/>
      </w:pPr>
      <w:r>
        <w:rPr>
          <w:rFonts w:ascii="Calibri" w:hAnsi="Calibri" w:eastAsia="Microsoft YaHei"/>
          <w:b/>
          <w:i w:val="0"/>
          <w:color w:val="17365D"/>
          <w:sz w:val="32"/>
        </w:rPr>
        <w:t>开场：从公开榜单失真，到客户为什么需要私有 benchmark</w:t>
      </w:r>
    </w:p>
    <w:p>
      <w:pPr>
        <w:keepLines w:val="0"/>
      </w:pPr>
      <w:r>
        <w:rPr>
          <w:rFonts w:ascii="Calibri" w:hAnsi="Calibri" w:eastAsia="Microsoft YaHei"/>
          <w:i w:val="0"/>
          <w:color w:val="1F2937"/>
          <w:sz w:val="21"/>
        </w:rPr>
        <w:t xml:space="preserve">本方案从 </w:t>
      </w:r>
      <w:r>
        <w:rPr>
          <w:rFonts w:ascii="Calibri" w:hAnsi="Calibri" w:eastAsia="Microsoft YaHei"/>
          <w:b/>
          <w:i w:val="0"/>
          <w:color w:val="1F2937"/>
          <w:sz w:val="21"/>
        </w:rPr>
        <w:t>2026 年 8 月 2 日发布的[官方录像](https://www.youtube.com/watch?v=-npY6XjM8CQ)</w:t>
      </w:r>
      <w:r>
        <w:rPr>
          <w:rFonts w:ascii="Calibri" w:hAnsi="Calibri" w:eastAsia="Microsoft YaHei"/>
          <w:i w:val="0"/>
          <w:color w:val="1F2937"/>
          <w:sz w:val="21"/>
        </w:rPr>
        <w:t xml:space="preserve"> 开始。录像记录了 Surge AI 的 Nick Heiner 在 2026 年 6 月 30 日 AI Engineer World’s Fair 上的演讲 *When Will The Benchmaxxing Plague End?*。它提出的核心问题不是“模型是否还能涨分”，而是：当公开题、脆弱 verifier 和排行榜激励共同成为优化目标时，分数可以继续上升，但人真正关心的工作价值未必同步上升。本文把演讲内容归纳为六个控制点：领域专家定义任务、真实工作输入、工具可用且题面与 verifier 双向覆盖、端到端 QC、私有 holdout、主观任务的专业盲评。它们是问题框架，不是 ALE 有效性的独立证明。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1F2937"/>
          <w:sz w:val="21"/>
        </w:rPr>
        <w:t>ALE 能够解决公开题长期暴露后，分数越来越难代表“未见任务能力”的问题。</w:t>
      </w:r>
      <w:r>
        <w:rPr>
          <w:rFonts w:ascii="Calibri" w:hAnsi="Calibri" w:eastAsia="Microsoft YaHei"/>
          <w:i w:val="0"/>
          <w:color w:val="1F2937"/>
          <w:sz w:val="21"/>
        </w:rPr>
        <w:t xml:space="preserve"> 客户购买的不是另一份公开题库，而是一座只服务于自身决策的私有 benchmark warehouse：题面、输入、reference、evaluator 和正式运行记录均受控；development、validation、sealed final 与 rotation reserve 只是客户内部用途分区，外部公开比例为零。它不能证明绝对无污染，但能显著减少围绕固定公开题反复调参与查询的空间。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1F2937"/>
          <w:sz w:val="21"/>
        </w:rPr>
        <w:t>ALE 能够解决 benchmark task 与真实专业工作脱节的问题。</w:t>
      </w:r>
      <w:r>
        <w:rPr>
          <w:rFonts w:ascii="Calibri" w:hAnsi="Calibri" w:eastAsia="Microsoft YaHei"/>
          <w:i w:val="0"/>
          <w:color w:val="1F2937"/>
          <w:sz w:val="21"/>
        </w:rPr>
        <w:t xml:space="preserve"> 它把任务放回真实软件、输入、约束和交付物中：专家定义端到端 workflow 与成功标准，agent 在可复位环境内完成文件或系统状态，再由 task-specific evaluator 验证实际产物。测量对象因此是冻结配置下的完整 agent system，而不是脱离 harness、tools、environment、budget 和 retry policy 的裸模型。</w:t>
      </w:r>
    </w:p>
    <w:p>
      <w:pPr>
        <w:keepLines w:val="0"/>
      </w:pPr>
      <w:r>
        <w:rPr>
          <w:rFonts w:ascii="Calibri" w:hAnsi="Calibri" w:eastAsia="Microsoft YaHei"/>
          <w:i w:val="0"/>
          <w:color w:val="1F2937"/>
          <w:sz w:val="21"/>
        </w:rPr>
        <w:t>因此，本项目不是复制 ALE 的公开题面，而是复刻它的测量架构，并把它建设成客户独占、可运行、可验证、可审计和可维护的私有产品。</w:t>
      </w:r>
    </w:p>
    <w:p>
      <w:pPr>
        <w:spacing w:before="40" w:after="80"/>
        <w:pBdr>
          <w:bottom w:val="single" w:sz="6" w:space="1" w:color="D9E2EC"/>
        </w:pBdr>
      </w:pPr>
    </w:p>
    <w:p>
      <w:pPr>
        <w:pStyle w:val="Heading1"/>
      </w:pPr>
      <w:r>
        <w:rPr>
          <w:rFonts w:ascii="Calibri" w:hAnsi="Calibri" w:eastAsia="Microsoft YaHei"/>
          <w:b/>
          <w:i w:val="0"/>
          <w:color w:val="17365D"/>
          <w:sz w:val="32"/>
        </w:rPr>
        <w:t>1. 建议直接冻结的产品定义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720"/>
      </w:tblGrid>
      <w:tr>
        <w:tc>
          <w:tcPr>
            <w:tcW w:type="dxa" w:w="9994"/>
            <w:shd w:fill="E8F7F5"/>
            <w:tcBorders>
              <w:left w:val="single" w:sz="22" w:color="19A7A8"/>
            </w:tcBorders>
            <w:tcMar>
              <w:top w:w="130" w:type="dxa"/>
              <w:start w:w="180" w:type="dxa"/>
              <w:bottom w:w="130" w:type="dxa"/>
              <w:end w:w="16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i/>
                <w:color w:val="17365D"/>
                <w:sz w:val="21"/>
              </w:rPr>
              <w:t xml:space="preserve">为单一客户建设一套原创、封闭、可运行的 ALE-style 私有 benchmark 仓库。基础交付包括 </w:t>
            </w:r>
            <w:r>
              <w:rPr>
                <w:rFonts w:ascii="Calibri" w:hAnsi="Calibri" w:eastAsia="Microsoft YaHei"/>
                <w:b/>
                <w:i/>
                <w:color w:val="17365D"/>
                <w:sz w:val="21"/>
              </w:rPr>
              <w:t>960 个通过最终验收的 distinct workflow packages</w:t>
            </w:r>
            <w:r>
              <w:rPr>
                <w:rFonts w:ascii="Calibri" w:hAnsi="Calibri" w:eastAsia="Microsoft YaHei"/>
                <w:i/>
                <w:color w:val="17365D"/>
                <w:sz w:val="21"/>
              </w:rPr>
              <w:t xml:space="preserve">，以及 </w:t>
            </w:r>
            <w:r>
              <w:rPr>
                <w:rFonts w:ascii="Calibri" w:hAnsi="Calibri" w:eastAsia="Microsoft YaHei"/>
                <w:b/>
                <w:i/>
                <w:color w:val="17365D"/>
                <w:sz w:val="21"/>
              </w:rPr>
              <w:t>1,490 个通过最终验收的 runnable instances</w:t>
            </w:r>
            <w:r>
              <w:rPr>
                <w:rFonts w:ascii="Calibri" w:hAnsi="Calibri" w:eastAsia="Microsoft YaHei"/>
                <w:i/>
                <w:color w:val="17365D"/>
                <w:sz w:val="21"/>
              </w:rPr>
              <w:t>；不设置对外 public release。若客户特有的语言、地区、软件、监管或高风险场景存在明确缺口，可新增最多 40 个 customer-specific workflows。</w:t>
            </w:r>
          </w:p>
        </w:tc>
      </w:tr>
    </w:tbl>
    <w:p>
      <w:pPr>
        <w:keepLines w:val="0"/>
      </w:pPr>
      <w:r>
        <w:rPr>
          <w:rFonts w:ascii="Calibri" w:hAnsi="Calibri" w:eastAsia="Microsoft YaHei"/>
          <w:i w:val="0"/>
          <w:color w:val="1F2937"/>
          <w:sz w:val="21"/>
        </w:rPr>
        <w:t>基础计数为：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720"/>
      </w:tblGrid>
      <w:tr>
        <w:tc>
          <w:tcPr>
            <w:tcW w:type="dxa" w:w="9994"/>
            <w:shd w:fill="F5F7FA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 w:eastAsia="Microsoft YaHei"/>
                <w:color w:val="17365D"/>
                <w:sz w:val="16"/>
              </w:rPr>
              <w:t>W_base = 960 accepted distinct workflows</w:t>
              <w:br/>
            </w:r>
            <w:r>
              <w:rPr>
                <w:rFonts w:ascii="Consolas" w:hAnsi="Consolas" w:eastAsia="Microsoft YaHei"/>
                <w:color w:val="17365D"/>
                <w:sz w:val="16"/>
              </w:rPr>
              <w:t>I_canonical = 960 accepted canonical instances</w:t>
              <w:br/>
            </w:r>
            <w:r>
              <w:rPr>
                <w:rFonts w:ascii="Consolas" w:hAnsi="Consolas" w:eastAsia="Microsoft YaHei"/>
                <w:color w:val="17365D"/>
                <w:sz w:val="16"/>
              </w:rPr>
              <w:t>I_variant = 530 accepted additional instances</w:t>
              <w:br/>
            </w:r>
            <w:r>
              <w:rPr>
                <w:rFonts w:ascii="Consolas" w:hAnsi="Consolas" w:eastAsia="Microsoft YaHei"/>
                <w:color w:val="17365D"/>
                <w:sz w:val="16"/>
              </w:rPr>
              <w:t>I_base = 1,490 final-QC accepted runnable instances</w:t>
              <w:br/>
            </w:r>
            <w:r>
              <w:rPr>
                <w:rFonts w:ascii="Consolas" w:hAnsi="Consolas" w:eastAsia="Microsoft YaHei"/>
                <w:color w:val="17365D"/>
                <w:sz w:val="16"/>
              </w:rPr>
              <w:t>Public external release = 0</w:t>
            </w:r>
          </w:p>
        </w:tc>
      </w:tr>
    </w:tbl>
    <w:p>
      <w:pPr>
        <w:spacing w:after="0"/>
      </w:pPr>
    </w:p>
    <w:p>
      <w:pPr>
        <w:keepLines w:val="0"/>
      </w:pPr>
      <w:r>
        <w:rPr>
          <w:rFonts w:ascii="Calibri" w:hAnsi="Calibri" w:eastAsia="Microsoft YaHei"/>
          <w:i w:val="0"/>
          <w:color w:val="1F2937"/>
          <w:sz w:val="21"/>
        </w:rPr>
        <w:t>这是一项结构性复刻：复刻 taxonomy coverage、workflow→environment→reference→evaluator 的任务骨架、生产 QC 和私有治理；题面、输入、reference、grader 与环境资产必须原创或取得合法授权。ALE v2 的 1,490 条 inventory 包含 323 条 pending QC；本项目的 1,490 条必须全部 final-QC accepted，不能照抄其未完成状态。</w:t>
      </w:r>
    </w:p>
    <w:p>
      <w:pPr>
        <w:keepLines w:val="0"/>
      </w:pPr>
      <w:r>
        <w:rPr>
          <w:rFonts w:ascii="Calibri" w:hAnsi="Calibri" w:eastAsia="Microsoft YaHei"/>
          <w:i w:val="0"/>
          <w:color w:val="1F2937"/>
          <w:sz w:val="21"/>
        </w:rPr>
        <w:t>每个 workflow 至少有一个 canonical instance；其余 530 个 instances 必须改变关键状态、信息可得性、约束、失败模式、reference 或决策边界。仅替换姓名、日期、seed 或表面数字的 pseudo-variant 不计数。完整计数与验收定义见</w:t>
      </w:r>
      <w:hyperlink r:id="rId11">
        <w:r>
          <w:rPr>
            <w:rFonts w:ascii="Calibri" w:hAnsi="Calibri" w:eastAsia="Microsoft YaHei"/>
            <w:color w:val="245B8A"/>
            <w:u w:val="single"/>
          </w:rPr>
          <w:t>范围与产品定义</w:t>
        </w:r>
      </w:hyperlink>
      <w:r>
        <w:rPr>
          <w:rFonts w:ascii="Calibri" w:hAnsi="Calibri" w:eastAsia="Microsoft YaHei"/>
          <w:i w:val="0"/>
          <w:color w:val="1F2937"/>
          <w:sz w:val="21"/>
        </w:rPr>
        <w:t>。</w:t>
      </w:r>
    </w:p>
    <w:p>
      <w:pPr>
        <w:pStyle w:val="Heading1"/>
      </w:pPr>
      <w:r>
        <w:rPr>
          <w:rFonts w:ascii="Calibri" w:hAnsi="Calibri" w:eastAsia="Microsoft YaHei"/>
          <w:b/>
          <w:i w:val="0"/>
          <w:color w:val="17365D"/>
          <w:sz w:val="32"/>
        </w:rPr>
        <w:t>2. 覆盖蓝图：沿用 ALE v2，而不是重新“选一千题”</w:t>
      </w:r>
    </w:p>
    <w:p>
      <w:pPr>
        <w:keepLines w:val="0"/>
      </w:pPr>
      <w:r>
        <w:rPr>
          <w:rFonts w:ascii="Calibri" w:hAnsi="Calibri" w:eastAsia="Microsoft YaHei"/>
          <w:i w:val="0"/>
          <w:color w:val="1F2937"/>
          <w:sz w:val="21"/>
        </w:rPr>
        <w:t xml:space="preserve">ALE v2 的正式口径是 </w:t>
      </w:r>
      <w:r>
        <w:rPr>
          <w:rFonts w:ascii="Calibri" w:hAnsi="Calibri" w:eastAsia="Microsoft YaHei"/>
          <w:b/>
          <w:i w:val="0"/>
          <w:color w:val="1F2937"/>
          <w:sz w:val="21"/>
        </w:rPr>
        <w:t>13 个 domains、55 个 subdomains、1,490 个 instances</w:t>
      </w:r>
      <w:r>
        <w:rPr>
          <w:rFonts w:ascii="Calibri" w:hAnsi="Calibri" w:eastAsia="Microsoft YaHei"/>
          <w:i w:val="0"/>
          <w:color w:val="1F2937"/>
          <w:sz w:val="21"/>
        </w:rPr>
        <w:t xml:space="preserve">。Figure 2 另外显示 </w:t>
      </w:r>
      <w:r>
        <w:rPr>
          <w:rFonts w:ascii="Consolas" w:hAnsi="Consolas" w:eastAsia="Microsoft YaHei"/>
          <w:color w:val="17365D"/>
          <w:sz w:val="20"/>
        </w:rPr>
        <w:t>Other → Sports</w:t>
      </w:r>
      <w:r>
        <w:rPr>
          <w:rFonts w:ascii="Calibri" w:hAnsi="Calibri" w:eastAsia="Microsoft YaHei"/>
          <w:i w:val="0"/>
          <w:color w:val="1F2937"/>
          <w:sz w:val="21"/>
        </w:rPr>
        <w:t xml:space="preserve"> 残余条带；它使 subdomain 总数达到 55，但论文没有把 </w:t>
      </w:r>
      <w:r>
        <w:rPr>
          <w:rFonts w:ascii="Consolas" w:hAnsi="Consolas" w:eastAsia="Microsoft YaHei"/>
          <w:color w:val="17365D"/>
          <w:sz w:val="20"/>
        </w:rPr>
        <w:t>Other</w:t>
      </w:r>
      <w:r>
        <w:rPr>
          <w:rFonts w:ascii="Calibri" w:hAnsi="Calibri" w:eastAsia="Microsoft YaHei"/>
          <w:i w:val="0"/>
          <w:color w:val="1F2937"/>
          <w:sz w:val="21"/>
        </w:rPr>
        <w:t xml:space="preserve"> 定义为第 14 个正式 domain。基础交付直接冻结 Figure 2 的 instance vector，不再凭空发明另一套行业配额。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7DEE7"/>
          <w:left w:val="single" w:sz="4" w:color="D7DEE7"/>
          <w:bottom w:val="single" w:sz="4" w:color="D7DEE7"/>
          <w:right w:val="single" w:sz="4" w:color="D7DEE7"/>
          <w:insideH w:val="single" w:sz="4" w:color="D7DEE7"/>
          <w:insideV w:val="single" w:sz="4" w:color="D7DEE7"/>
        </w:tblBorders>
      </w:tblPr>
      <w:tblGrid>
        <w:gridCol w:w="5832"/>
        <w:gridCol w:w="1944"/>
        <w:gridCol w:w="2218"/>
      </w:tblGrid>
      <w:tr>
        <w:trPr>
          <w:cantSplit/>
          <w:tblHeader w:val="true"/>
        </w:trPr>
        <w:tc>
          <w:tcPr>
            <w:tcW w:type="dxa" w:w="3331"/>
            <w:vAlign w:val="center"/>
            <w:tcMar>
              <w:top w:w="55" w:type="dxa"/>
              <w:start w:w="85" w:type="dxa"/>
              <w:bottom w:w="55" w:type="dxa"/>
              <w:end w:w="85" w:type="dxa"/>
            </w:tcMar>
            <w:shd w:fill="17365D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/>
                <w:i w:val="0"/>
                <w:color w:val="FFFFFF"/>
                <w:sz w:val="15"/>
              </w:rPr>
              <w:t>顶层覆盖域</w:t>
            </w:r>
          </w:p>
        </w:tc>
        <w:tc>
          <w:tcPr>
            <w:tcW w:type="dxa" w:w="3331"/>
            <w:vAlign w:val="center"/>
            <w:tcMar>
              <w:top w:w="55" w:type="dxa"/>
              <w:start w:w="85" w:type="dxa"/>
              <w:bottom w:w="55" w:type="dxa"/>
              <w:end w:w="85" w:type="dxa"/>
            </w:tcMar>
            <w:shd w:fill="17365D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/>
                <w:i w:val="0"/>
                <w:color w:val="FFFFFF"/>
                <w:sz w:val="15"/>
              </w:rPr>
              <w:t>v2 instances</w:t>
            </w:r>
          </w:p>
        </w:tc>
        <w:tc>
          <w:tcPr>
            <w:tcW w:type="dxa" w:w="3331"/>
            <w:vAlign w:val="center"/>
            <w:tcMar>
              <w:top w:w="55" w:type="dxa"/>
              <w:start w:w="85" w:type="dxa"/>
              <w:bottom w:w="55" w:type="dxa"/>
              <w:end w:w="85" w:type="dxa"/>
            </w:tcMar>
            <w:shd w:fill="17365D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/>
                <w:i w:val="0"/>
                <w:color w:val="FFFFFF"/>
                <w:sz w:val="15"/>
              </w:rPr>
              <w:t>本项目重建 workflows</w:t>
            </w:r>
          </w:p>
        </w:tc>
      </w:tr>
      <w:tr>
        <w:trPr>
          <w:cantSplit/>
        </w:trPr>
        <w:tc>
          <w:tcPr>
            <w:tcW w:type="dxa" w:w="3331"/>
            <w:vAlign w:val="center"/>
            <w:tcMar>
              <w:top w:w="55" w:type="dxa"/>
              <w:start w:w="85" w:type="dxa"/>
              <w:bottom w:w="55" w:type="dxa"/>
              <w:end w:w="85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5"/>
              </w:rPr>
              <w:t>Engineering &amp; Architecture</w:t>
            </w:r>
          </w:p>
        </w:tc>
        <w:tc>
          <w:tcPr>
            <w:tcW w:type="dxa" w:w="3331"/>
            <w:vAlign w:val="center"/>
            <w:tcMar>
              <w:top w:w="55" w:type="dxa"/>
              <w:start w:w="85" w:type="dxa"/>
              <w:bottom w:w="55" w:type="dxa"/>
              <w:end w:w="85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5"/>
              </w:rPr>
              <w:t>368</w:t>
            </w:r>
          </w:p>
        </w:tc>
        <w:tc>
          <w:tcPr>
            <w:tcW w:type="dxa" w:w="3331"/>
            <w:vAlign w:val="center"/>
            <w:tcMar>
              <w:top w:w="55" w:type="dxa"/>
              <w:start w:w="85" w:type="dxa"/>
              <w:bottom w:w="55" w:type="dxa"/>
              <w:end w:w="85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5"/>
              </w:rPr>
              <w:t>238</w:t>
            </w:r>
          </w:p>
        </w:tc>
      </w:tr>
      <w:tr>
        <w:trPr>
          <w:cantSplit/>
        </w:trPr>
        <w:tc>
          <w:tcPr>
            <w:tcW w:type="dxa" w:w="3331"/>
            <w:vAlign w:val="center"/>
            <w:tcMar>
              <w:top w:w="55" w:type="dxa"/>
              <w:start w:w="85" w:type="dxa"/>
              <w:bottom w:w="55" w:type="dxa"/>
              <w:end w:w="85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5"/>
              </w:rPr>
              <w:t>Computing &amp; Mathematical Sciences</w:t>
            </w:r>
          </w:p>
        </w:tc>
        <w:tc>
          <w:tcPr>
            <w:tcW w:type="dxa" w:w="3331"/>
            <w:vAlign w:val="center"/>
            <w:tcMar>
              <w:top w:w="55" w:type="dxa"/>
              <w:start w:w="85" w:type="dxa"/>
              <w:bottom w:w="55" w:type="dxa"/>
              <w:end w:w="85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5"/>
              </w:rPr>
              <w:t>237</w:t>
            </w:r>
          </w:p>
        </w:tc>
        <w:tc>
          <w:tcPr>
            <w:tcW w:type="dxa" w:w="3331"/>
            <w:vAlign w:val="center"/>
            <w:tcMar>
              <w:top w:w="55" w:type="dxa"/>
              <w:start w:w="85" w:type="dxa"/>
              <w:bottom w:w="55" w:type="dxa"/>
              <w:end w:w="85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5"/>
              </w:rPr>
              <w:t>153</w:t>
            </w:r>
          </w:p>
        </w:tc>
      </w:tr>
      <w:tr>
        <w:trPr>
          <w:cantSplit/>
        </w:trPr>
        <w:tc>
          <w:tcPr>
            <w:tcW w:type="dxa" w:w="3331"/>
            <w:vAlign w:val="center"/>
            <w:tcMar>
              <w:top w:w="55" w:type="dxa"/>
              <w:start w:w="85" w:type="dxa"/>
              <w:bottom w:w="55" w:type="dxa"/>
              <w:end w:w="85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5"/>
              </w:rPr>
              <w:t>Visual &amp; Media Arts</w:t>
            </w:r>
          </w:p>
        </w:tc>
        <w:tc>
          <w:tcPr>
            <w:tcW w:type="dxa" w:w="3331"/>
            <w:vAlign w:val="center"/>
            <w:tcMar>
              <w:top w:w="55" w:type="dxa"/>
              <w:start w:w="85" w:type="dxa"/>
              <w:bottom w:w="55" w:type="dxa"/>
              <w:end w:w="85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5"/>
              </w:rPr>
              <w:t>226</w:t>
            </w:r>
          </w:p>
        </w:tc>
        <w:tc>
          <w:tcPr>
            <w:tcW w:type="dxa" w:w="3331"/>
            <w:vAlign w:val="center"/>
            <w:tcMar>
              <w:top w:w="55" w:type="dxa"/>
              <w:start w:w="85" w:type="dxa"/>
              <w:bottom w:w="55" w:type="dxa"/>
              <w:end w:w="85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5"/>
              </w:rPr>
              <w:t>147</w:t>
            </w:r>
          </w:p>
        </w:tc>
      </w:tr>
      <w:tr>
        <w:trPr>
          <w:cantSplit/>
        </w:trPr>
        <w:tc>
          <w:tcPr>
            <w:tcW w:type="dxa" w:w="3331"/>
            <w:vAlign w:val="center"/>
            <w:tcMar>
              <w:top w:w="55" w:type="dxa"/>
              <w:start w:w="85" w:type="dxa"/>
              <w:bottom w:w="55" w:type="dxa"/>
              <w:end w:w="85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5"/>
              </w:rPr>
              <w:t>Business &amp; Finance</w:t>
            </w:r>
          </w:p>
        </w:tc>
        <w:tc>
          <w:tcPr>
            <w:tcW w:type="dxa" w:w="3331"/>
            <w:vAlign w:val="center"/>
            <w:tcMar>
              <w:top w:w="55" w:type="dxa"/>
              <w:start w:w="85" w:type="dxa"/>
              <w:bottom w:w="55" w:type="dxa"/>
              <w:end w:w="85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5"/>
              </w:rPr>
              <w:t>189</w:t>
            </w:r>
          </w:p>
        </w:tc>
        <w:tc>
          <w:tcPr>
            <w:tcW w:type="dxa" w:w="3331"/>
            <w:vAlign w:val="center"/>
            <w:tcMar>
              <w:top w:w="55" w:type="dxa"/>
              <w:start w:w="85" w:type="dxa"/>
              <w:bottom w:w="55" w:type="dxa"/>
              <w:end w:w="85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5"/>
              </w:rPr>
              <w:t>121</w:t>
            </w:r>
          </w:p>
        </w:tc>
      </w:tr>
      <w:tr>
        <w:trPr>
          <w:cantSplit/>
        </w:trPr>
        <w:tc>
          <w:tcPr>
            <w:tcW w:type="dxa" w:w="3331"/>
            <w:vAlign w:val="center"/>
            <w:tcMar>
              <w:top w:w="55" w:type="dxa"/>
              <w:start w:w="85" w:type="dxa"/>
              <w:bottom w:w="55" w:type="dxa"/>
              <w:end w:w="85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5"/>
              </w:rPr>
              <w:t>Health &amp; Medicine</w:t>
            </w:r>
          </w:p>
        </w:tc>
        <w:tc>
          <w:tcPr>
            <w:tcW w:type="dxa" w:w="3331"/>
            <w:vAlign w:val="center"/>
            <w:tcMar>
              <w:top w:w="55" w:type="dxa"/>
              <w:start w:w="85" w:type="dxa"/>
              <w:bottom w:w="55" w:type="dxa"/>
              <w:end w:w="85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5"/>
              </w:rPr>
              <w:t>155</w:t>
            </w:r>
          </w:p>
        </w:tc>
        <w:tc>
          <w:tcPr>
            <w:tcW w:type="dxa" w:w="3331"/>
            <w:vAlign w:val="center"/>
            <w:tcMar>
              <w:top w:w="55" w:type="dxa"/>
              <w:start w:w="85" w:type="dxa"/>
              <w:bottom w:w="55" w:type="dxa"/>
              <w:end w:w="85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5"/>
              </w:rPr>
              <w:t>99</w:t>
            </w:r>
          </w:p>
        </w:tc>
      </w:tr>
      <w:tr>
        <w:trPr>
          <w:cantSplit/>
        </w:trPr>
        <w:tc>
          <w:tcPr>
            <w:tcW w:type="dxa" w:w="3331"/>
            <w:vAlign w:val="center"/>
            <w:tcMar>
              <w:top w:w="55" w:type="dxa"/>
              <w:start w:w="85" w:type="dxa"/>
              <w:bottom w:w="55" w:type="dxa"/>
              <w:end w:w="85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5"/>
              </w:rPr>
              <w:t>Life Sciences</w:t>
            </w:r>
          </w:p>
        </w:tc>
        <w:tc>
          <w:tcPr>
            <w:tcW w:type="dxa" w:w="3331"/>
            <w:vAlign w:val="center"/>
            <w:tcMar>
              <w:top w:w="55" w:type="dxa"/>
              <w:start w:w="85" w:type="dxa"/>
              <w:bottom w:w="55" w:type="dxa"/>
              <w:end w:w="85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5"/>
              </w:rPr>
              <w:t>111</w:t>
            </w:r>
          </w:p>
        </w:tc>
        <w:tc>
          <w:tcPr>
            <w:tcW w:type="dxa" w:w="3331"/>
            <w:vAlign w:val="center"/>
            <w:tcMar>
              <w:top w:w="55" w:type="dxa"/>
              <w:start w:w="85" w:type="dxa"/>
              <w:bottom w:w="55" w:type="dxa"/>
              <w:end w:w="85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5"/>
              </w:rPr>
              <w:t>70</w:t>
            </w:r>
          </w:p>
        </w:tc>
      </w:tr>
      <w:tr>
        <w:trPr>
          <w:cantSplit/>
        </w:trPr>
        <w:tc>
          <w:tcPr>
            <w:tcW w:type="dxa" w:w="3331"/>
            <w:vAlign w:val="center"/>
            <w:tcMar>
              <w:top w:w="55" w:type="dxa"/>
              <w:start w:w="85" w:type="dxa"/>
              <w:bottom w:w="55" w:type="dxa"/>
              <w:end w:w="85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5"/>
              </w:rPr>
              <w:t>Physical Sciences</w:t>
            </w:r>
          </w:p>
        </w:tc>
        <w:tc>
          <w:tcPr>
            <w:tcW w:type="dxa" w:w="3331"/>
            <w:vAlign w:val="center"/>
            <w:tcMar>
              <w:top w:w="55" w:type="dxa"/>
              <w:start w:w="85" w:type="dxa"/>
              <w:bottom w:w="55" w:type="dxa"/>
              <w:end w:w="85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5"/>
              </w:rPr>
              <w:t>46</w:t>
            </w:r>
          </w:p>
        </w:tc>
        <w:tc>
          <w:tcPr>
            <w:tcW w:type="dxa" w:w="3331"/>
            <w:vAlign w:val="center"/>
            <w:tcMar>
              <w:top w:w="55" w:type="dxa"/>
              <w:start w:w="85" w:type="dxa"/>
              <w:bottom w:w="55" w:type="dxa"/>
              <w:end w:w="85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5"/>
              </w:rPr>
              <w:t>30</w:t>
            </w:r>
          </w:p>
        </w:tc>
      </w:tr>
      <w:tr>
        <w:trPr>
          <w:cantSplit/>
        </w:trPr>
        <w:tc>
          <w:tcPr>
            <w:tcW w:type="dxa" w:w="3331"/>
            <w:vAlign w:val="center"/>
            <w:tcMar>
              <w:top w:w="55" w:type="dxa"/>
              <w:start w:w="85" w:type="dxa"/>
              <w:bottom w:w="55" w:type="dxa"/>
              <w:end w:w="85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5"/>
              </w:rPr>
              <w:t>Transportation &amp; Safety</w:t>
            </w:r>
          </w:p>
        </w:tc>
        <w:tc>
          <w:tcPr>
            <w:tcW w:type="dxa" w:w="3331"/>
            <w:vAlign w:val="center"/>
            <w:tcMar>
              <w:top w:w="55" w:type="dxa"/>
              <w:start w:w="85" w:type="dxa"/>
              <w:bottom w:w="55" w:type="dxa"/>
              <w:end w:w="85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5"/>
              </w:rPr>
              <w:t>35</w:t>
            </w:r>
          </w:p>
        </w:tc>
        <w:tc>
          <w:tcPr>
            <w:tcW w:type="dxa" w:w="3331"/>
            <w:vAlign w:val="center"/>
            <w:tcMar>
              <w:top w:w="55" w:type="dxa"/>
              <w:start w:w="85" w:type="dxa"/>
              <w:bottom w:w="55" w:type="dxa"/>
              <w:end w:w="85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5"/>
              </w:rPr>
              <w:t>22</w:t>
            </w:r>
          </w:p>
        </w:tc>
      </w:tr>
      <w:tr>
        <w:trPr>
          <w:cantSplit/>
        </w:trPr>
        <w:tc>
          <w:tcPr>
            <w:tcW w:type="dxa" w:w="3331"/>
            <w:vAlign w:val="center"/>
            <w:tcMar>
              <w:top w:w="55" w:type="dxa"/>
              <w:start w:w="85" w:type="dxa"/>
              <w:bottom w:w="55" w:type="dxa"/>
              <w:end w:w="85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5"/>
              </w:rPr>
              <w:t>Education &amp; Information</w:t>
            </w:r>
          </w:p>
        </w:tc>
        <w:tc>
          <w:tcPr>
            <w:tcW w:type="dxa" w:w="3331"/>
            <w:vAlign w:val="center"/>
            <w:tcMar>
              <w:top w:w="55" w:type="dxa"/>
              <w:start w:w="85" w:type="dxa"/>
              <w:bottom w:w="55" w:type="dxa"/>
              <w:end w:w="85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5"/>
              </w:rPr>
              <w:t>33</w:t>
            </w:r>
          </w:p>
        </w:tc>
        <w:tc>
          <w:tcPr>
            <w:tcW w:type="dxa" w:w="3331"/>
            <w:vAlign w:val="center"/>
            <w:tcMar>
              <w:top w:w="55" w:type="dxa"/>
              <w:start w:w="85" w:type="dxa"/>
              <w:bottom w:w="55" w:type="dxa"/>
              <w:end w:w="85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5"/>
              </w:rPr>
              <w:t>22</w:t>
            </w:r>
          </w:p>
        </w:tc>
      </w:tr>
      <w:tr>
        <w:trPr>
          <w:cantSplit/>
        </w:trPr>
        <w:tc>
          <w:tcPr>
            <w:tcW w:type="dxa" w:w="3331"/>
            <w:vAlign w:val="center"/>
            <w:tcMar>
              <w:top w:w="55" w:type="dxa"/>
              <w:start w:w="85" w:type="dxa"/>
              <w:bottom w:w="55" w:type="dxa"/>
              <w:end w:w="85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5"/>
              </w:rPr>
              <w:t>Psychology &amp; Neuroscience</w:t>
            </w:r>
          </w:p>
        </w:tc>
        <w:tc>
          <w:tcPr>
            <w:tcW w:type="dxa" w:w="3331"/>
            <w:vAlign w:val="center"/>
            <w:tcMar>
              <w:top w:w="55" w:type="dxa"/>
              <w:start w:w="85" w:type="dxa"/>
              <w:bottom w:w="55" w:type="dxa"/>
              <w:end w:w="85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5"/>
              </w:rPr>
              <w:t>27</w:t>
            </w:r>
          </w:p>
        </w:tc>
        <w:tc>
          <w:tcPr>
            <w:tcW w:type="dxa" w:w="3331"/>
            <w:vAlign w:val="center"/>
            <w:tcMar>
              <w:top w:w="55" w:type="dxa"/>
              <w:start w:w="85" w:type="dxa"/>
              <w:bottom w:w="55" w:type="dxa"/>
              <w:end w:w="85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5"/>
              </w:rPr>
              <w:t>17</w:t>
            </w:r>
          </w:p>
        </w:tc>
      </w:tr>
      <w:tr>
        <w:trPr>
          <w:cantSplit/>
        </w:trPr>
        <w:tc>
          <w:tcPr>
            <w:tcW w:type="dxa" w:w="3331"/>
            <w:vAlign w:val="center"/>
            <w:tcMar>
              <w:top w:w="55" w:type="dxa"/>
              <w:start w:w="85" w:type="dxa"/>
              <w:bottom w:w="55" w:type="dxa"/>
              <w:end w:w="85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5"/>
              </w:rPr>
              <w:t>Social Sciences</w:t>
            </w:r>
          </w:p>
        </w:tc>
        <w:tc>
          <w:tcPr>
            <w:tcW w:type="dxa" w:w="3331"/>
            <w:vAlign w:val="center"/>
            <w:tcMar>
              <w:top w:w="55" w:type="dxa"/>
              <w:start w:w="85" w:type="dxa"/>
              <w:bottom w:w="55" w:type="dxa"/>
              <w:end w:w="85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5"/>
              </w:rPr>
              <w:t>26</w:t>
            </w:r>
          </w:p>
        </w:tc>
        <w:tc>
          <w:tcPr>
            <w:tcW w:type="dxa" w:w="3331"/>
            <w:vAlign w:val="center"/>
            <w:tcMar>
              <w:top w:w="55" w:type="dxa"/>
              <w:start w:w="85" w:type="dxa"/>
              <w:bottom w:w="55" w:type="dxa"/>
              <w:end w:w="85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5"/>
              </w:rPr>
              <w:t>17</w:t>
            </w:r>
          </w:p>
        </w:tc>
      </w:tr>
      <w:tr>
        <w:trPr>
          <w:cantSplit/>
        </w:trPr>
        <w:tc>
          <w:tcPr>
            <w:tcW w:type="dxa" w:w="3331"/>
            <w:vAlign w:val="center"/>
            <w:tcMar>
              <w:top w:w="55" w:type="dxa"/>
              <w:start w:w="85" w:type="dxa"/>
              <w:bottom w:w="55" w:type="dxa"/>
              <w:end w:w="85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5"/>
              </w:rPr>
              <w:t>Agriculture &amp; Environment</w:t>
            </w:r>
          </w:p>
        </w:tc>
        <w:tc>
          <w:tcPr>
            <w:tcW w:type="dxa" w:w="3331"/>
            <w:vAlign w:val="center"/>
            <w:tcMar>
              <w:top w:w="55" w:type="dxa"/>
              <w:start w:w="85" w:type="dxa"/>
              <w:bottom w:w="55" w:type="dxa"/>
              <w:end w:w="85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5"/>
              </w:rPr>
              <w:t>19</w:t>
            </w:r>
          </w:p>
        </w:tc>
        <w:tc>
          <w:tcPr>
            <w:tcW w:type="dxa" w:w="3331"/>
            <w:vAlign w:val="center"/>
            <w:tcMar>
              <w:top w:w="55" w:type="dxa"/>
              <w:start w:w="85" w:type="dxa"/>
              <w:bottom w:w="55" w:type="dxa"/>
              <w:end w:w="85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5"/>
              </w:rPr>
              <w:t>12</w:t>
            </w:r>
          </w:p>
        </w:tc>
      </w:tr>
      <w:tr>
        <w:trPr>
          <w:cantSplit/>
        </w:trPr>
        <w:tc>
          <w:tcPr>
            <w:tcW w:type="dxa" w:w="3331"/>
            <w:vAlign w:val="center"/>
            <w:tcMar>
              <w:top w:w="55" w:type="dxa"/>
              <w:start w:w="85" w:type="dxa"/>
              <w:bottom w:w="55" w:type="dxa"/>
              <w:end w:w="85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5"/>
              </w:rPr>
              <w:t>Legal</w:t>
            </w:r>
          </w:p>
        </w:tc>
        <w:tc>
          <w:tcPr>
            <w:tcW w:type="dxa" w:w="3331"/>
            <w:vAlign w:val="center"/>
            <w:tcMar>
              <w:top w:w="55" w:type="dxa"/>
              <w:start w:w="85" w:type="dxa"/>
              <w:bottom w:w="55" w:type="dxa"/>
              <w:end w:w="85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5"/>
              </w:rPr>
              <w:t>15</w:t>
            </w:r>
          </w:p>
        </w:tc>
        <w:tc>
          <w:tcPr>
            <w:tcW w:type="dxa" w:w="3331"/>
            <w:vAlign w:val="center"/>
            <w:tcMar>
              <w:top w:w="55" w:type="dxa"/>
              <w:start w:w="85" w:type="dxa"/>
              <w:bottom w:w="55" w:type="dxa"/>
              <w:end w:w="85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5"/>
              </w:rPr>
              <w:t>10</w:t>
            </w:r>
          </w:p>
        </w:tc>
      </w:tr>
      <w:tr>
        <w:trPr>
          <w:cantSplit/>
        </w:trPr>
        <w:tc>
          <w:tcPr>
            <w:tcW w:type="dxa" w:w="3331"/>
            <w:vAlign w:val="center"/>
            <w:tcMar>
              <w:top w:w="55" w:type="dxa"/>
              <w:start w:w="85" w:type="dxa"/>
              <w:bottom w:w="55" w:type="dxa"/>
              <w:end w:w="85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5"/>
              </w:rPr>
              <w:t>Other → Sports（残余条带）</w:t>
            </w:r>
          </w:p>
        </w:tc>
        <w:tc>
          <w:tcPr>
            <w:tcW w:type="dxa" w:w="3331"/>
            <w:vAlign w:val="center"/>
            <w:tcMar>
              <w:top w:w="55" w:type="dxa"/>
              <w:start w:w="85" w:type="dxa"/>
              <w:bottom w:w="55" w:type="dxa"/>
              <w:end w:w="85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5"/>
              </w:rPr>
              <w:t>3</w:t>
            </w:r>
          </w:p>
        </w:tc>
        <w:tc>
          <w:tcPr>
            <w:tcW w:type="dxa" w:w="3331"/>
            <w:vAlign w:val="center"/>
            <w:tcMar>
              <w:top w:w="55" w:type="dxa"/>
              <w:start w:w="85" w:type="dxa"/>
              <w:bottom w:w="55" w:type="dxa"/>
              <w:end w:w="85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5"/>
              </w:rPr>
              <w:t>2</w:t>
            </w:r>
          </w:p>
        </w:tc>
      </w:tr>
      <w:tr>
        <w:trPr>
          <w:cantSplit/>
        </w:trPr>
        <w:tc>
          <w:tcPr>
            <w:tcW w:type="dxa" w:w="3331"/>
            <w:vAlign w:val="center"/>
            <w:tcMar>
              <w:top w:w="55" w:type="dxa"/>
              <w:start w:w="85" w:type="dxa"/>
              <w:bottom w:w="55" w:type="dxa"/>
              <w:end w:w="85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/>
                <w:i w:val="0"/>
                <w:color w:val="1F2937"/>
                <w:sz w:val="15"/>
              </w:rPr>
              <w:t>合计</w:t>
            </w:r>
          </w:p>
        </w:tc>
        <w:tc>
          <w:tcPr>
            <w:tcW w:type="dxa" w:w="3331"/>
            <w:vAlign w:val="center"/>
            <w:tcMar>
              <w:top w:w="55" w:type="dxa"/>
              <w:start w:w="85" w:type="dxa"/>
              <w:bottom w:w="55" w:type="dxa"/>
              <w:end w:w="85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/>
                <w:i w:val="0"/>
                <w:color w:val="1F2937"/>
                <w:sz w:val="15"/>
              </w:rPr>
              <w:t>1,490</w:t>
            </w:r>
          </w:p>
        </w:tc>
        <w:tc>
          <w:tcPr>
            <w:tcW w:type="dxa" w:w="3331"/>
            <w:vAlign w:val="center"/>
            <w:tcMar>
              <w:top w:w="55" w:type="dxa"/>
              <w:start w:w="85" w:type="dxa"/>
              <w:bottom w:w="55" w:type="dxa"/>
              <w:end w:w="85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/>
                <w:i w:val="0"/>
                <w:color w:val="1F2937"/>
                <w:sz w:val="15"/>
              </w:rPr>
              <w:t>960</w:t>
            </w:r>
          </w:p>
        </w:tc>
      </w:tr>
    </w:tbl>
    <w:p>
      <w:pPr>
        <w:spacing w:after="0" w:before="0"/>
      </w:pPr>
    </w:p>
    <w:p>
      <w:pPr>
        <w:keepLines w:val="0"/>
      </w:pPr>
      <w:r>
        <w:rPr>
          <w:rFonts w:ascii="Calibri" w:hAnsi="Calibri" w:eastAsia="Microsoft YaHei"/>
          <w:i w:val="0"/>
          <w:color w:val="1F2937"/>
          <w:sz w:val="21"/>
        </w:rPr>
        <w:t xml:space="preserve">ALE 没有公开 960 workflows 的逐 subdomain manifest。因此，表中的 workflow 数不是 ALE 官方原表，而是本项目按 </w:t>
      </w:r>
      <w:r>
        <w:rPr>
          <w:rFonts w:ascii="Consolas" w:hAnsi="Consolas" w:eastAsia="Microsoft YaHei"/>
          <w:color w:val="17365D"/>
          <w:sz w:val="20"/>
        </w:rPr>
        <w:t>960 × subdomain instances / 1,490</w:t>
      </w:r>
      <w:r>
        <w:rPr>
          <w:rFonts w:ascii="Calibri" w:hAnsi="Calibri" w:eastAsia="Microsoft YaHei"/>
          <w:i w:val="0"/>
          <w:color w:val="1F2937"/>
          <w:sz w:val="21"/>
        </w:rPr>
        <w:t xml:space="preserve"> 使用 Hamilton largest-remainder rule 透明重建的生产配额。55 个 subdomains、逐项 instance/workflow 数和专家 sourcing lanes 见</w:t>
      </w:r>
      <w:hyperlink r:id="rId12">
        <w:r>
          <w:rPr>
            <w:rFonts w:ascii="Calibri" w:hAnsi="Calibri" w:eastAsia="Microsoft YaHei"/>
            <w:color w:val="245B8A"/>
            <w:u w:val="single"/>
          </w:rPr>
          <w:t>完整技术报告 §2.4、§4 与附录 E</w:t>
        </w:r>
      </w:hyperlink>
      <w:r>
        <w:rPr>
          <w:rFonts w:ascii="Calibri" w:hAnsi="Calibri" w:eastAsia="Microsoft YaHei"/>
          <w:i w:val="0"/>
          <w:color w:val="1F2937"/>
          <w:sz w:val="21"/>
        </w:rPr>
        <w:t>。</w:t>
      </w:r>
    </w:p>
    <w:p>
      <w:pPr>
        <w:pStyle w:val="Heading1"/>
      </w:pPr>
      <w:r>
        <w:rPr>
          <w:rFonts w:ascii="Calibri" w:hAnsi="Calibri" w:eastAsia="Microsoft YaHei"/>
          <w:b/>
          <w:i w:val="0"/>
          <w:color w:val="17365D"/>
          <w:sz w:val="32"/>
        </w:rPr>
        <w:t>3. 交付单位：不是 prompt，而是 runnable asset</w:t>
      </w:r>
    </w:p>
    <w:p>
      <w:pPr>
        <w:keepLines w:val="0"/>
      </w:pPr>
      <w:r>
        <w:rPr>
          <w:rFonts w:ascii="Calibri" w:hAnsi="Calibri" w:eastAsia="Microsoft YaHei"/>
          <w:i w:val="0"/>
          <w:color w:val="1F2937"/>
          <w:sz w:val="21"/>
        </w:rPr>
        <w:t>一个计入付款与验收的 workflow package 至少包含：</w:t>
      </w:r>
    </w:p>
    <w:p>
      <w:pPr>
        <w:spacing w:after="50"/>
        <w:ind w:left="403" w:hanging="288"/>
      </w:pPr>
      <w:r>
        <w:rPr>
          <w:rFonts w:ascii="Calibri" w:hAnsi="Calibri" w:eastAsia="Microsoft YaHei"/>
          <w:b/>
          <w:color w:val="245B8A"/>
          <w:sz w:val="20"/>
        </w:rPr>
        <w:t xml:space="preserve">1. </w:t>
      </w:r>
      <w:r>
        <w:rPr>
          <w:rFonts w:ascii="Consolas" w:hAnsi="Consolas" w:eastAsia="Microsoft YaHei"/>
          <w:color w:val="17365D"/>
          <w:sz w:val="19"/>
        </w:rPr>
        <w:t>workflow_id</w:t>
      </w:r>
      <w:r>
        <w:rPr>
          <w:rFonts w:ascii="Calibri" w:hAnsi="Calibri" w:eastAsia="Microsoft YaHei"/>
          <w:i w:val="0"/>
          <w:color w:val="1F2937"/>
          <w:sz w:val="20"/>
        </w:rPr>
        <w:t>、专业目标、能力边界、输出和 evaluator contract；</w:t>
      </w:r>
    </w:p>
    <w:p>
      <w:pPr>
        <w:spacing w:after="50"/>
        <w:ind w:left="403" w:hanging="288"/>
      </w:pPr>
      <w:r>
        <w:rPr>
          <w:rFonts w:ascii="Calibri" w:hAnsi="Calibri" w:eastAsia="Microsoft YaHei"/>
          <w:b/>
          <w:color w:val="245B8A"/>
          <w:sz w:val="20"/>
        </w:rPr>
        <w:t xml:space="preserve">2. </w:t>
      </w:r>
      <w:r>
        <w:rPr>
          <w:rFonts w:ascii="Calibri" w:hAnsi="Calibri" w:eastAsia="Microsoft YaHei"/>
          <w:i w:val="0"/>
          <w:color w:val="1F2937"/>
          <w:sz w:val="20"/>
        </w:rPr>
        <w:t>participant-visible task spec 与经过授权的 input pack；</w:t>
      </w:r>
    </w:p>
    <w:p>
      <w:pPr>
        <w:spacing w:after="50"/>
        <w:ind w:left="403" w:hanging="288"/>
      </w:pPr>
      <w:r>
        <w:rPr>
          <w:rFonts w:ascii="Calibri" w:hAnsi="Calibri" w:eastAsia="Microsoft YaHei"/>
          <w:b/>
          <w:color w:val="245B8A"/>
          <w:sz w:val="20"/>
        </w:rPr>
        <w:t xml:space="preserve">3. </w:t>
      </w:r>
      <w:r>
        <w:rPr>
          <w:rFonts w:ascii="Calibri" w:hAnsi="Calibri" w:eastAsia="Microsoft YaHei"/>
          <w:i w:val="0"/>
          <w:color w:val="1F2937"/>
          <w:sz w:val="20"/>
        </w:rPr>
        <w:t>可复位 environment、软件版本、license、credential 与 network policy；</w:t>
      </w:r>
    </w:p>
    <w:p>
      <w:pPr>
        <w:spacing w:after="50"/>
        <w:ind w:left="403" w:hanging="288"/>
      </w:pPr>
      <w:r>
        <w:rPr>
          <w:rFonts w:ascii="Calibri" w:hAnsi="Calibri" w:eastAsia="Microsoft YaHei"/>
          <w:b/>
          <w:color w:val="245B8A"/>
          <w:sz w:val="20"/>
        </w:rPr>
        <w:t xml:space="preserve">4. </w:t>
      </w:r>
      <w:r>
        <w:rPr>
          <w:rFonts w:ascii="Calibri" w:hAnsi="Calibri" w:eastAsia="Microsoft YaHei"/>
          <w:i w:val="0"/>
          <w:color w:val="1F2937"/>
          <w:sz w:val="20"/>
        </w:rPr>
        <w:t>hidden reference、合法等价解空间和 versioned evaluator；</w:t>
      </w:r>
    </w:p>
    <w:p>
      <w:pPr>
        <w:spacing w:after="50"/>
        <w:ind w:left="403" w:hanging="288"/>
      </w:pPr>
      <w:r>
        <w:rPr>
          <w:rFonts w:ascii="Calibri" w:hAnsi="Calibri" w:eastAsia="Microsoft YaHei"/>
          <w:b/>
          <w:color w:val="245B8A"/>
          <w:sz w:val="20"/>
        </w:rPr>
        <w:t xml:space="preserve">5. </w:t>
      </w:r>
      <w:r>
        <w:rPr>
          <w:rFonts w:ascii="Calibri" w:hAnsi="Calibri" w:eastAsia="Microsoft YaHei"/>
          <w:i w:val="0"/>
          <w:color w:val="1F2937"/>
          <w:sz w:val="20"/>
        </w:rPr>
        <w:t>evaluator unit tests、adversarial fixtures 与人工仲裁规则；</w:t>
      </w:r>
    </w:p>
    <w:p>
      <w:pPr>
        <w:spacing w:after="50"/>
        <w:ind w:left="403" w:hanging="288"/>
      </w:pPr>
      <w:r>
        <w:rPr>
          <w:rFonts w:ascii="Calibri" w:hAnsi="Calibri" w:eastAsia="Microsoft YaHei"/>
          <w:b/>
          <w:color w:val="245B8A"/>
          <w:sz w:val="20"/>
        </w:rPr>
        <w:t xml:space="preserve">6. </w:t>
      </w:r>
      <w:r>
        <w:rPr>
          <w:rFonts w:ascii="Calibri" w:hAnsi="Calibri" w:eastAsia="Microsoft YaHei"/>
          <w:i w:val="0"/>
          <w:color w:val="1F2937"/>
          <w:sz w:val="20"/>
        </w:rPr>
        <w:t>author demo、independent solve、domain review、rights/security clearance 与 final approval；</w:t>
      </w:r>
    </w:p>
    <w:p>
      <w:pPr>
        <w:spacing w:after="50"/>
        <w:ind w:left="403" w:hanging="288"/>
      </w:pPr>
      <w:r>
        <w:rPr>
          <w:rFonts w:ascii="Calibri" w:hAnsi="Calibri" w:eastAsia="Microsoft YaHei"/>
          <w:b/>
          <w:color w:val="245B8A"/>
          <w:sz w:val="20"/>
        </w:rPr>
        <w:t xml:space="preserve">7. </w:t>
      </w:r>
      <w:r>
        <w:rPr>
          <w:rFonts w:ascii="Calibri" w:hAnsi="Calibri" w:eastAsia="Microsoft YaHei"/>
          <w:i w:val="0"/>
          <w:color w:val="1F2937"/>
          <w:sz w:val="20"/>
        </w:rPr>
        <w:t>release manifest、运行证据、版本、incident、rotation 与 retirement 记录。</w:t>
      </w:r>
    </w:p>
    <w:p>
      <w:pPr>
        <w:keepLines w:val="0"/>
      </w:pPr>
      <w:r>
        <w:rPr>
          <w:rFonts w:ascii="Calibri" w:hAnsi="Calibri" w:eastAsia="Microsoft YaHei"/>
          <w:i w:val="0"/>
          <w:color w:val="1F2937"/>
          <w:sz w:val="21"/>
        </w:rPr>
        <w:t>Idea、submission、spec-only task、pending-QC 条目、重复 workflow、cosmetic variant、retry、regrade 和缺陷修复都不增加正式计数。完整 schema 见</w:t>
      </w:r>
      <w:hyperlink r:id="rId13">
        <w:r>
          <w:rPr>
            <w:rFonts w:ascii="Calibri" w:hAnsi="Calibri" w:eastAsia="Microsoft YaHei"/>
            <w:color w:val="245B8A"/>
            <w:u w:val="single"/>
          </w:rPr>
          <w:t>技术蓝图</w:t>
        </w:r>
      </w:hyperlink>
      <w:r>
        <w:rPr>
          <w:rFonts w:ascii="Calibri" w:hAnsi="Calibri" w:eastAsia="Microsoft YaHei"/>
          <w:i w:val="0"/>
          <w:color w:val="1F2937"/>
          <w:sz w:val="21"/>
        </w:rPr>
        <w:t>。</w:t>
      </w:r>
    </w:p>
    <w:p>
      <w:pPr>
        <w:pStyle w:val="Heading1"/>
      </w:pPr>
      <w:r>
        <w:rPr>
          <w:rFonts w:ascii="Calibri" w:hAnsi="Calibri" w:eastAsia="Microsoft YaHei"/>
          <w:b/>
          <w:i w:val="0"/>
          <w:color w:val="17365D"/>
          <w:sz w:val="32"/>
        </w:rPr>
        <w:t>4. 生产系统：Golden case → Batch zero → 分波次扩产</w:t>
      </w:r>
    </w:p>
    <w:p>
      <w:pPr>
        <w:keepLines w:val="0"/>
      </w:pPr>
      <w:r>
        <w:rPr>
          <w:rFonts w:ascii="Calibri" w:hAnsi="Calibri" w:eastAsia="Microsoft YaHei"/>
          <w:i w:val="0"/>
          <w:color w:val="1F2937"/>
          <w:sz w:val="21"/>
        </w:rPr>
        <w:t>我会把过去项目中使用的 Golden case、guideline、batch zero 和 reviewer 晋升机制，升级为以下 stage-gated 生产线：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7DEE7"/>
          <w:left w:val="single" w:sz="4" w:color="D7DEE7"/>
          <w:bottom w:val="single" w:sz="4" w:color="D7DEE7"/>
          <w:right w:val="single" w:sz="4" w:color="D7DEE7"/>
          <w:insideH w:val="single" w:sz="4" w:color="D7DEE7"/>
          <w:insideV w:val="single" w:sz="4" w:color="D7DEE7"/>
        </w:tblBorders>
      </w:tblPr>
      <w:tblGrid>
        <w:gridCol w:w="1224"/>
        <w:gridCol w:w="3456"/>
        <w:gridCol w:w="5314"/>
      </w:tblGrid>
      <w:tr>
        <w:trPr>
          <w:cantSplit/>
          <w:tblHeader w:val="true"/>
        </w:trPr>
        <w:tc>
          <w:tcPr>
            <w:tcW w:type="dxa" w:w="3331"/>
            <w:vAlign w:val="center"/>
            <w:tcMar>
              <w:top w:w="55" w:type="dxa"/>
              <w:start w:w="85" w:type="dxa"/>
              <w:bottom w:w="55" w:type="dxa"/>
              <w:end w:w="85" w:type="dxa"/>
            </w:tcMar>
            <w:shd w:fill="17365D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/>
                <w:i w:val="0"/>
                <w:color w:val="FFFFFF"/>
                <w:sz w:val="15"/>
              </w:rPr>
              <w:t>Gate</w:t>
            </w:r>
          </w:p>
        </w:tc>
        <w:tc>
          <w:tcPr>
            <w:tcW w:type="dxa" w:w="3331"/>
            <w:vAlign w:val="center"/>
            <w:tcMar>
              <w:top w:w="55" w:type="dxa"/>
              <w:start w:w="85" w:type="dxa"/>
              <w:bottom w:w="55" w:type="dxa"/>
              <w:end w:w="85" w:type="dxa"/>
            </w:tcMar>
            <w:shd w:fill="17365D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/>
                <w:i w:val="0"/>
                <w:color w:val="FFFFFF"/>
                <w:sz w:val="15"/>
              </w:rPr>
              <w:t>核心动作</w:t>
            </w:r>
          </w:p>
        </w:tc>
        <w:tc>
          <w:tcPr>
            <w:tcW w:type="dxa" w:w="3331"/>
            <w:vAlign w:val="center"/>
            <w:tcMar>
              <w:top w:w="55" w:type="dxa"/>
              <w:start w:w="85" w:type="dxa"/>
              <w:bottom w:w="55" w:type="dxa"/>
              <w:end w:w="85" w:type="dxa"/>
            </w:tcMar>
            <w:shd w:fill="17365D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/>
                <w:i w:val="0"/>
                <w:color w:val="FFFFFF"/>
                <w:sz w:val="15"/>
              </w:rPr>
              <w:t>放行证据</w:t>
            </w:r>
          </w:p>
        </w:tc>
      </w:tr>
      <w:tr>
        <w:trPr>
          <w:cantSplit/>
        </w:trPr>
        <w:tc>
          <w:tcPr>
            <w:tcW w:type="dxa" w:w="3331"/>
            <w:vAlign w:val="center"/>
            <w:tcMar>
              <w:top w:w="55" w:type="dxa"/>
              <w:start w:w="85" w:type="dxa"/>
              <w:bottom w:w="55" w:type="dxa"/>
              <w:end w:w="85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5"/>
              </w:rPr>
              <w:t>G0 Scope</w:t>
            </w:r>
          </w:p>
        </w:tc>
        <w:tc>
          <w:tcPr>
            <w:tcW w:type="dxa" w:w="3331"/>
            <w:vAlign w:val="center"/>
            <w:tcMar>
              <w:top w:w="55" w:type="dxa"/>
              <w:start w:w="85" w:type="dxa"/>
              <w:bottom w:w="55" w:type="dxa"/>
              <w:end w:w="85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5"/>
              </w:rPr>
              <w:t>冻结 intended use、claims、计数、权利和运行边界</w:t>
            </w:r>
          </w:p>
        </w:tc>
        <w:tc>
          <w:tcPr>
            <w:tcW w:type="dxa" w:w="3331"/>
            <w:vAlign w:val="center"/>
            <w:tcMar>
              <w:top w:w="55" w:type="dxa"/>
              <w:start w:w="85" w:type="dxa"/>
              <w:bottom w:w="55" w:type="dxa"/>
              <w:end w:w="85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5"/>
              </w:rPr>
              <w:t>批准的 SOW / manifest schema</w:t>
            </w:r>
          </w:p>
        </w:tc>
      </w:tr>
      <w:tr>
        <w:trPr>
          <w:cantSplit/>
        </w:trPr>
        <w:tc>
          <w:tcPr>
            <w:tcW w:type="dxa" w:w="3331"/>
            <w:vAlign w:val="center"/>
            <w:tcMar>
              <w:top w:w="55" w:type="dxa"/>
              <w:start w:w="85" w:type="dxa"/>
              <w:bottom w:w="55" w:type="dxa"/>
              <w:end w:w="85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5"/>
              </w:rPr>
              <w:t>G1 Golden case</w:t>
            </w:r>
          </w:p>
        </w:tc>
        <w:tc>
          <w:tcPr>
            <w:tcW w:type="dxa" w:w="3331"/>
            <w:vAlign w:val="center"/>
            <w:tcMar>
              <w:top w:w="55" w:type="dxa"/>
              <w:start w:w="85" w:type="dxa"/>
              <w:bottom w:w="55" w:type="dxa"/>
              <w:end w:w="85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5"/>
              </w:rPr>
              <w:t>Group Lead 跑通真实 workflow，形成 scenario matrix、rubric、checklist 与答疑</w:t>
            </w:r>
          </w:p>
        </w:tc>
        <w:tc>
          <w:tcPr>
            <w:tcW w:type="dxa" w:w="3331"/>
            <w:vAlign w:val="center"/>
            <w:tcMar>
              <w:top w:w="55" w:type="dxa"/>
              <w:start w:w="85" w:type="dxa"/>
              <w:bottom w:w="55" w:type="dxa"/>
              <w:end w:w="85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5"/>
              </w:rPr>
              <w:t>executable evidence pack</w:t>
            </w:r>
          </w:p>
        </w:tc>
      </w:tr>
      <w:tr>
        <w:trPr>
          <w:cantSplit/>
        </w:trPr>
        <w:tc>
          <w:tcPr>
            <w:tcW w:type="dxa" w:w="3331"/>
            <w:vAlign w:val="center"/>
            <w:tcMar>
              <w:top w:w="55" w:type="dxa"/>
              <w:start w:w="85" w:type="dxa"/>
              <w:bottom w:w="55" w:type="dxa"/>
              <w:end w:w="85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5"/>
              </w:rPr>
              <w:t>G2 Batch zero</w:t>
            </w:r>
          </w:p>
        </w:tc>
        <w:tc>
          <w:tcPr>
            <w:tcW w:type="dxa" w:w="3331"/>
            <w:vAlign w:val="center"/>
            <w:tcMar>
              <w:top w:w="55" w:type="dxa"/>
              <w:start w:w="85" w:type="dxa"/>
              <w:bottom w:w="55" w:type="dxa"/>
              <w:end w:w="85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5"/>
              </w:rPr>
              <w:t>少量最匹配专家独立生产与互审，隔离 guideline、expert、case、environment、evaluator 与 rights 根因</w:t>
            </w:r>
          </w:p>
        </w:tc>
        <w:tc>
          <w:tcPr>
            <w:tcW w:type="dxa" w:w="3331"/>
            <w:vAlign w:val="center"/>
            <w:tcMar>
              <w:top w:w="55" w:type="dxa"/>
              <w:start w:w="85" w:type="dxa"/>
              <w:bottom w:w="55" w:type="dxa"/>
              <w:end w:w="85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5"/>
              </w:rPr>
              <w:t>分歧与返工账本</w:t>
            </w:r>
          </w:p>
        </w:tc>
      </w:tr>
      <w:tr>
        <w:trPr>
          <w:cantSplit/>
        </w:trPr>
        <w:tc>
          <w:tcPr>
            <w:tcW w:type="dxa" w:w="3331"/>
            <w:vAlign w:val="center"/>
            <w:tcMar>
              <w:top w:w="55" w:type="dxa"/>
              <w:start w:w="85" w:type="dxa"/>
              <w:bottom w:w="55" w:type="dxa"/>
              <w:end w:w="85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5"/>
              </w:rPr>
              <w:t>G3 Authoring</w:t>
            </w:r>
          </w:p>
        </w:tc>
        <w:tc>
          <w:tcPr>
            <w:tcW w:type="dxa" w:w="3331"/>
            <w:vAlign w:val="center"/>
            <w:tcMar>
              <w:top w:w="55" w:type="dxa"/>
              <w:start w:w="85" w:type="dxa"/>
              <w:bottom w:w="55" w:type="dxa"/>
              <w:end w:w="85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5"/>
              </w:rPr>
              <w:t>按 subdomain、软件、法域和风险招募、校准、分批生产</w:t>
            </w:r>
          </w:p>
        </w:tc>
        <w:tc>
          <w:tcPr>
            <w:tcW w:type="dxa" w:w="3331"/>
            <w:vAlign w:val="center"/>
            <w:tcMar>
              <w:top w:w="55" w:type="dxa"/>
              <w:start w:w="85" w:type="dxa"/>
              <w:bottom w:w="55" w:type="dxa"/>
              <w:end w:w="85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5"/>
              </w:rPr>
              <w:t>accepted spec/input/reference</w:t>
            </w:r>
          </w:p>
        </w:tc>
      </w:tr>
      <w:tr>
        <w:trPr>
          <w:cantSplit/>
        </w:trPr>
        <w:tc>
          <w:tcPr>
            <w:tcW w:type="dxa" w:w="3331"/>
            <w:vAlign w:val="center"/>
            <w:tcMar>
              <w:top w:w="55" w:type="dxa"/>
              <w:start w:w="85" w:type="dxa"/>
              <w:bottom w:w="55" w:type="dxa"/>
              <w:end w:w="85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5"/>
              </w:rPr>
              <w:t>G4 Engineering</w:t>
            </w:r>
          </w:p>
        </w:tc>
        <w:tc>
          <w:tcPr>
            <w:tcW w:type="dxa" w:w="3331"/>
            <w:vAlign w:val="center"/>
            <w:tcMar>
              <w:top w:w="55" w:type="dxa"/>
              <w:start w:w="85" w:type="dxa"/>
              <w:bottom w:w="55" w:type="dxa"/>
              <w:end w:w="85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5"/>
              </w:rPr>
              <w:t>构建可复位环境和 versioned evaluator</w:t>
            </w:r>
          </w:p>
        </w:tc>
        <w:tc>
          <w:tcPr>
            <w:tcW w:type="dxa" w:w="3331"/>
            <w:vAlign w:val="center"/>
            <w:tcMar>
              <w:top w:w="55" w:type="dxa"/>
              <w:start w:w="85" w:type="dxa"/>
              <w:bottom w:w="55" w:type="dxa"/>
              <w:end w:w="85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5"/>
              </w:rPr>
              <w:t>clean-room dry-run 与 tests</w:t>
            </w:r>
          </w:p>
        </w:tc>
      </w:tr>
      <w:tr>
        <w:trPr>
          <w:cantSplit/>
        </w:trPr>
        <w:tc>
          <w:tcPr>
            <w:tcW w:type="dxa" w:w="3331"/>
            <w:vAlign w:val="center"/>
            <w:tcMar>
              <w:top w:w="55" w:type="dxa"/>
              <w:start w:w="85" w:type="dxa"/>
              <w:bottom w:w="55" w:type="dxa"/>
              <w:end w:w="85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5"/>
              </w:rPr>
              <w:t>G5 Independent validation</w:t>
            </w:r>
          </w:p>
        </w:tc>
        <w:tc>
          <w:tcPr>
            <w:tcW w:type="dxa" w:w="3331"/>
            <w:vAlign w:val="center"/>
            <w:tcMar>
              <w:top w:w="55" w:type="dxa"/>
              <w:start w:w="85" w:type="dxa"/>
              <w:bottom w:w="55" w:type="dxa"/>
              <w:end w:w="85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5"/>
              </w:rPr>
              <w:t>未参与创作的 solver、domain reviewer 与 evaluator engineer 做盲测和 red team</w:t>
            </w:r>
          </w:p>
        </w:tc>
        <w:tc>
          <w:tcPr>
            <w:tcW w:type="dxa" w:w="3331"/>
            <w:vAlign w:val="center"/>
            <w:tcMar>
              <w:top w:w="55" w:type="dxa"/>
              <w:start w:w="85" w:type="dxa"/>
              <w:bottom w:w="55" w:type="dxa"/>
              <w:end w:w="85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5"/>
              </w:rPr>
              <w:t>gold/bad/alternate/near-miss fixtures</w:t>
            </w:r>
          </w:p>
        </w:tc>
      </w:tr>
      <w:tr>
        <w:trPr>
          <w:cantSplit/>
        </w:trPr>
        <w:tc>
          <w:tcPr>
            <w:tcW w:type="dxa" w:w="3331"/>
            <w:vAlign w:val="center"/>
            <w:tcMar>
              <w:top w:w="55" w:type="dxa"/>
              <w:start w:w="85" w:type="dxa"/>
              <w:bottom w:w="55" w:type="dxa"/>
              <w:end w:w="85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5"/>
              </w:rPr>
              <w:t>G6 Final acceptance</w:t>
            </w:r>
          </w:p>
        </w:tc>
        <w:tc>
          <w:tcPr>
            <w:tcW w:type="dxa" w:w="3331"/>
            <w:vAlign w:val="center"/>
            <w:tcMar>
              <w:top w:w="55" w:type="dxa"/>
              <w:start w:w="85" w:type="dxa"/>
              <w:bottom w:w="55" w:type="dxa"/>
              <w:end w:w="85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5"/>
              </w:rPr>
              <w:t>Rights/Security Owner 与 Final Approver 签字</w:t>
            </w:r>
          </w:p>
        </w:tc>
        <w:tc>
          <w:tcPr>
            <w:tcW w:type="dxa" w:w="3331"/>
            <w:vAlign w:val="center"/>
            <w:tcMar>
              <w:top w:w="55" w:type="dxa"/>
              <w:start w:w="85" w:type="dxa"/>
              <w:bottom w:w="55" w:type="dxa"/>
              <w:end w:w="85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5"/>
              </w:rPr>
              <w:t>accepted workflow/instance manifest</w:t>
            </w:r>
          </w:p>
        </w:tc>
      </w:tr>
      <w:tr>
        <w:trPr>
          <w:cantSplit/>
        </w:trPr>
        <w:tc>
          <w:tcPr>
            <w:tcW w:type="dxa" w:w="3331"/>
            <w:vAlign w:val="center"/>
            <w:tcMar>
              <w:top w:w="55" w:type="dxa"/>
              <w:start w:w="85" w:type="dxa"/>
              <w:bottom w:w="55" w:type="dxa"/>
              <w:end w:w="85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5"/>
              </w:rPr>
              <w:t>G7 Release &amp; operate</w:t>
            </w:r>
          </w:p>
        </w:tc>
        <w:tc>
          <w:tcPr>
            <w:tcW w:type="dxa" w:w="3331"/>
            <w:vAlign w:val="center"/>
            <w:tcMar>
              <w:top w:w="55" w:type="dxa"/>
              <w:start w:w="85" w:type="dxa"/>
              <w:bottom w:w="55" w:type="dxa"/>
              <w:end w:w="85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5"/>
              </w:rPr>
              <w:t>分配客户私有用途池，冻结 run identity，持续 incident/rotation/retirement</w:t>
            </w:r>
          </w:p>
        </w:tc>
        <w:tc>
          <w:tcPr>
            <w:tcW w:type="dxa" w:w="3331"/>
            <w:vAlign w:val="center"/>
            <w:tcMar>
              <w:top w:w="55" w:type="dxa"/>
              <w:start w:w="85" w:type="dxa"/>
              <w:bottom w:w="55" w:type="dxa"/>
              <w:end w:w="85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5"/>
              </w:rPr>
              <w:t>signed release manifest</w:t>
            </w:r>
          </w:p>
        </w:tc>
      </w:tr>
    </w:tbl>
    <w:p>
      <w:pPr>
        <w:spacing w:after="0" w:before="0"/>
      </w:pPr>
    </w:p>
    <w:p>
      <w:pPr>
        <w:keepLines w:val="0"/>
      </w:pPr>
      <w:r>
        <w:rPr>
          <w:rFonts w:ascii="Calibri" w:hAnsi="Calibri" w:eastAsia="Microsoft YaHei"/>
          <w:i w:val="0"/>
          <w:color w:val="1F2937"/>
          <w:sz w:val="21"/>
        </w:rPr>
        <w:t>RACI 的硬约束是职责分离：author、environment builder 或 evaluator engineer 不能单独批准自己构建的资产；reviewer 是 assurance authority，不是对优秀 author 的荣誉升级。完整 RACI 与专家治理见</w:t>
      </w:r>
      <w:hyperlink r:id="rId14">
        <w:r>
          <w:rPr>
            <w:rFonts w:ascii="Calibri" w:hAnsi="Calibri" w:eastAsia="Microsoft YaHei"/>
            <w:color w:val="245B8A"/>
            <w:u w:val="single"/>
          </w:rPr>
          <w:t>专家生产治理</w:t>
        </w:r>
      </w:hyperlink>
      <w:r>
        <w:rPr>
          <w:rFonts w:ascii="Calibri" w:hAnsi="Calibri" w:eastAsia="Microsoft YaHei"/>
          <w:i w:val="0"/>
          <w:color w:val="1F2937"/>
          <w:sz w:val="21"/>
        </w:rPr>
        <w:t>。</w:t>
      </w:r>
    </w:p>
    <w:p>
      <w:pPr>
        <w:pStyle w:val="Heading1"/>
      </w:pPr>
      <w:r>
        <w:rPr>
          <w:rFonts w:ascii="Calibri" w:hAnsi="Calibri" w:eastAsia="Microsoft YaHei"/>
          <w:b/>
          <w:i w:val="0"/>
          <w:color w:val="17365D"/>
          <w:sz w:val="32"/>
        </w:rPr>
        <w:t>5. 分数可信度：evaluator 与环境是产品核心</w:t>
      </w:r>
    </w:p>
    <w:p>
      <w:pPr>
        <w:keepLines w:val="0"/>
      </w:pPr>
      <w:r>
        <w:rPr>
          <w:rFonts w:ascii="Calibri" w:hAnsi="Calibri" w:eastAsia="Microsoft YaHei"/>
          <w:i w:val="0"/>
          <w:color w:val="1F2937"/>
          <w:sz w:val="21"/>
        </w:rPr>
        <w:t xml:space="preserve">Evaluator 必须建立 </w:t>
      </w:r>
      <w:r>
        <w:rPr>
          <w:rFonts w:ascii="Consolas" w:hAnsi="Consolas" w:eastAsia="Microsoft YaHei"/>
          <w:color w:val="17365D"/>
          <w:sz w:val="20"/>
        </w:rPr>
        <w:t>requirement → construct → reference → check → evidence → fixture</w:t>
      </w:r>
      <w:r>
        <w:rPr>
          <w:rFonts w:ascii="Calibri" w:hAnsi="Calibri" w:eastAsia="Microsoft YaHei"/>
          <w:i w:val="0"/>
          <w:color w:val="1F2937"/>
          <w:sz w:val="21"/>
        </w:rPr>
        <w:t xml:space="preserve"> 的双向链。最低测试族包括 gold、known-bad、alternate-correct、near-miss、boundary、corrupt artifact、mutation、metamorphic、shortcut、tamper 与 environment-failure。主观或高风险维度才引入专业盲评；不能把 LLM judge 当成 validity 的替代品。详见</w:t>
      </w:r>
      <w:hyperlink r:id="rId15">
        <w:r>
          <w:rPr>
            <w:rFonts w:ascii="Calibri" w:hAnsi="Calibri" w:eastAsia="Microsoft YaHei"/>
            <w:color w:val="245B8A"/>
            <w:u w:val="single"/>
          </w:rPr>
          <w:t>evaluator validity 与 integrity</w:t>
        </w:r>
      </w:hyperlink>
      <w:r>
        <w:rPr>
          <w:rFonts w:ascii="Calibri" w:hAnsi="Calibri" w:eastAsia="Microsoft YaHei"/>
          <w:i w:val="0"/>
          <w:color w:val="1F2937"/>
          <w:sz w:val="21"/>
        </w:rPr>
        <w:t>。</w:t>
      </w:r>
    </w:p>
    <w:p>
      <w:pPr>
        <w:keepLines w:val="0"/>
      </w:pPr>
      <w:r>
        <w:rPr>
          <w:rFonts w:ascii="Calibri" w:hAnsi="Calibri" w:eastAsia="Microsoft YaHei"/>
          <w:i w:val="0"/>
          <w:color w:val="1F2937"/>
          <w:sz w:val="21"/>
        </w:rPr>
        <w:t xml:space="preserve">运行架构采用统一 control plane、多 substrate、独立 judge plane。一次结果的身份不是 image tag，而是 </w:t>
      </w:r>
      <w:r>
        <w:rPr>
          <w:rFonts w:ascii="Consolas" w:hAnsi="Consolas" w:eastAsia="Microsoft YaHei"/>
          <w:color w:val="17365D"/>
          <w:sz w:val="20"/>
        </w:rPr>
        <w:t>release manifest + resolved launch attestation + task/harness/evaluator bundle</w:t>
      </w:r>
      <w:r>
        <w:rPr>
          <w:rFonts w:ascii="Calibri" w:hAnsi="Calibri" w:eastAsia="Microsoft YaHei"/>
          <w:i w:val="0"/>
          <w:color w:val="1F2937"/>
          <w:sz w:val="21"/>
        </w:rPr>
        <w:t>。Hidden reference 默认不进入 execution plane；credential、license、network、evidence 与 judge 分区。详见</w:t>
      </w:r>
      <w:hyperlink r:id="rId16">
        <w:r>
          <w:rPr>
            <w:rFonts w:ascii="Calibri" w:hAnsi="Calibri" w:eastAsia="Microsoft YaHei"/>
            <w:color w:val="245B8A"/>
            <w:u w:val="single"/>
          </w:rPr>
          <w:t>环境与执行参考架构</w:t>
        </w:r>
      </w:hyperlink>
      <w:r>
        <w:rPr>
          <w:rFonts w:ascii="Calibri" w:hAnsi="Calibri" w:eastAsia="Microsoft YaHei"/>
          <w:i w:val="0"/>
          <w:color w:val="1F2937"/>
          <w:sz w:val="21"/>
        </w:rPr>
        <w:t>。</w:t>
      </w:r>
    </w:p>
    <w:p>
      <w:pPr>
        <w:pStyle w:val="Heading1"/>
      </w:pPr>
      <w:r>
        <w:rPr>
          <w:rFonts w:ascii="Calibri" w:hAnsi="Calibri" w:eastAsia="Microsoft YaHei"/>
          <w:b/>
          <w:i w:val="0"/>
          <w:color w:val="17365D"/>
          <w:sz w:val="32"/>
        </w:rPr>
        <w:t>6. Pilot 的作用：测量扩产参数，不重开产品定义</w:t>
      </w:r>
    </w:p>
    <w:p>
      <w:pPr>
        <w:keepLines w:val="0"/>
      </w:pPr>
      <w:r>
        <w:rPr>
          <w:rFonts w:ascii="Calibri" w:hAnsi="Calibri" w:eastAsia="Microsoft YaHei"/>
          <w:i w:val="0"/>
          <w:color w:val="1F2937"/>
          <w:sz w:val="21"/>
        </w:rPr>
        <w:t>Pilot 不再决定“做哪些 domain”或“要不要做 960/1,490”；这些已由 ALE-v2-matched base layer 冻结。它只回答能否以可接受的质量、成本和风险扩产，并实测以下参数：各角色 service hours 与 throughput、stage yields、返工、evaluator 误拒/误放、environment failure、trial variance、expert supply、license friction 与 reserve burn。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720"/>
      </w:tblGrid>
      <w:tr>
        <w:tc>
          <w:tcPr>
            <w:tcW w:type="dxa" w:w="9994"/>
            <w:shd w:fill="F5F7FA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 w:eastAsia="Microsoft YaHei"/>
                <w:color w:val="17365D"/>
                <w:sz w:val="16"/>
              </w:rPr>
              <w:t>N_ideas_required ≈ 960 / Π(stage acceptance yield)</w:t>
              <w:br/>
            </w:r>
            <w:r>
              <w:rPr>
                <w:rFonts w:ascii="Consolas" w:hAnsi="Consolas" w:eastAsia="Microsoft YaHei"/>
                <w:color w:val="17365D"/>
                <w:sz w:val="16"/>
              </w:rPr>
              <w:t>Capacity_stage = available role hours / service hours per accepted unit</w:t>
              <w:br/>
            </w:r>
            <w:r>
              <w:rPr>
                <w:rFonts w:ascii="Consolas" w:hAnsi="Consolas" w:eastAsia="Microsoft YaHei"/>
                <w:color w:val="17365D"/>
                <w:sz w:val="16"/>
              </w:rPr>
              <w:t>T_release = T_pilot + max(T_sourcing, T_evaluator, T_environment_and_legal)</w:t>
              <w:br/>
            </w:r>
            <w:r>
              <w:rPr>
                <w:rFonts w:ascii="Consolas" w:hAnsi="Consolas" w:eastAsia="Microsoft YaHei"/>
                <w:color w:val="17365D"/>
                <w:sz w:val="16"/>
              </w:rPr>
              <w:t xml:space="preserve">            + T_integration_QA + T_rework + T_freeze</w:t>
            </w:r>
          </w:p>
        </w:tc>
      </w:tr>
    </w:tbl>
    <w:p>
      <w:pPr>
        <w:spacing w:after="0"/>
      </w:pPr>
    </w:p>
    <w:p>
      <w:pPr>
        <w:keepLines w:val="0"/>
      </w:pPr>
      <w:r>
        <w:rPr>
          <w:rFonts w:ascii="Calibri" w:hAnsi="Calibri" w:eastAsia="Microsoft YaHei"/>
          <w:i w:val="0"/>
          <w:color w:val="1F2937"/>
          <w:sz w:val="21"/>
        </w:rPr>
        <w:t>Advance、repair、rescope 与 stop gates 在 pilot 前预注册；具体人数、周期、预算和 SLA 在 pilot 后由实测参数进入合同。它们不是还缺一次 desk research，而是必须由客户约束和本项目数据决定。完整扩产公式见</w:t>
      </w:r>
      <w:hyperlink r:id="rId12">
        <w:r>
          <w:rPr>
            <w:rFonts w:ascii="Calibri" w:hAnsi="Calibri" w:eastAsia="Microsoft YaHei"/>
            <w:color w:val="245B8A"/>
            <w:u w:val="single"/>
          </w:rPr>
          <w:t>完整技术报告 §10</w:t>
        </w:r>
      </w:hyperlink>
      <w:r>
        <w:rPr>
          <w:rFonts w:ascii="Calibri" w:hAnsi="Calibri" w:eastAsia="Microsoft YaHei"/>
          <w:i w:val="0"/>
          <w:color w:val="1F2937"/>
          <w:sz w:val="21"/>
        </w:rPr>
        <w:t>。</w:t>
      </w:r>
    </w:p>
    <w:p>
      <w:pPr>
        <w:pStyle w:val="Heading1"/>
      </w:pPr>
      <w:r>
        <w:rPr>
          <w:rFonts w:ascii="Calibri" w:hAnsi="Calibri" w:eastAsia="Microsoft YaHei"/>
          <w:b/>
          <w:i w:val="0"/>
          <w:color w:val="17365D"/>
          <w:sz w:val="32"/>
        </w:rPr>
        <w:t>7. 付款、验收与私有用途隔离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7DEE7"/>
          <w:left w:val="single" w:sz="4" w:color="D7DEE7"/>
          <w:bottom w:val="single" w:sz="4" w:color="D7DEE7"/>
          <w:right w:val="single" w:sz="4" w:color="D7DEE7"/>
          <w:insideH w:val="single" w:sz="4" w:color="D7DEE7"/>
          <w:insideV w:val="single" w:sz="4" w:color="D7DEE7"/>
        </w:tblBorders>
      </w:tblPr>
      <w:tblGrid>
        <w:gridCol w:w="1944"/>
        <w:gridCol w:w="2952"/>
        <w:gridCol w:w="5098"/>
      </w:tblGrid>
      <w:tr>
        <w:trPr>
          <w:cantSplit/>
          <w:tblHeader w:val="true"/>
        </w:trPr>
        <w:tc>
          <w:tcPr>
            <w:tcW w:type="dxa" w:w="3331"/>
            <w:vAlign w:val="center"/>
            <w:tcMar>
              <w:top w:w="55" w:type="dxa"/>
              <w:start w:w="85" w:type="dxa"/>
              <w:bottom w:w="55" w:type="dxa"/>
              <w:end w:w="85" w:type="dxa"/>
            </w:tcMar>
            <w:shd w:fill="17365D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/>
                <w:i w:val="0"/>
                <w:color w:val="FFFFFF"/>
                <w:sz w:val="15"/>
              </w:rPr>
              <w:t>Manifest</w:t>
            </w:r>
          </w:p>
        </w:tc>
        <w:tc>
          <w:tcPr>
            <w:tcW w:type="dxa" w:w="3331"/>
            <w:vAlign w:val="center"/>
            <w:tcMar>
              <w:top w:w="55" w:type="dxa"/>
              <w:start w:w="85" w:type="dxa"/>
              <w:bottom w:w="55" w:type="dxa"/>
              <w:end w:w="85" w:type="dxa"/>
            </w:tcMar>
            <w:shd w:fill="17365D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/>
                <w:i w:val="0"/>
                <w:color w:val="FFFFFF"/>
                <w:sz w:val="15"/>
              </w:rPr>
              <w:t>验收对象</w:t>
            </w:r>
          </w:p>
        </w:tc>
        <w:tc>
          <w:tcPr>
            <w:tcW w:type="dxa" w:w="3331"/>
            <w:vAlign w:val="center"/>
            <w:tcMar>
              <w:top w:w="55" w:type="dxa"/>
              <w:start w:w="85" w:type="dxa"/>
              <w:bottom w:w="55" w:type="dxa"/>
              <w:end w:w="85" w:type="dxa"/>
            </w:tcMar>
            <w:shd w:fill="17365D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/>
                <w:i w:val="0"/>
                <w:color w:val="FFFFFF"/>
                <w:sz w:val="15"/>
              </w:rPr>
              <w:t>计费边界</w:t>
            </w:r>
          </w:p>
        </w:tc>
      </w:tr>
      <w:tr>
        <w:trPr>
          <w:cantSplit/>
        </w:trPr>
        <w:tc>
          <w:tcPr>
            <w:tcW w:type="dxa" w:w="3331"/>
            <w:vAlign w:val="center"/>
            <w:tcMar>
              <w:top w:w="55" w:type="dxa"/>
              <w:start w:w="85" w:type="dxa"/>
              <w:bottom w:w="55" w:type="dxa"/>
              <w:end w:w="85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5"/>
              </w:rPr>
              <w:t>Base Workflow Acceptance</w:t>
            </w:r>
          </w:p>
        </w:tc>
        <w:tc>
          <w:tcPr>
            <w:tcW w:type="dxa" w:w="3331"/>
            <w:vAlign w:val="center"/>
            <w:tcMar>
              <w:top w:w="55" w:type="dxa"/>
              <w:start w:w="85" w:type="dxa"/>
              <w:bottom w:w="55" w:type="dxa"/>
              <w:end w:w="85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5"/>
              </w:rPr>
              <w:t>960 个 distinct workflow packages</w:t>
            </w:r>
          </w:p>
        </w:tc>
        <w:tc>
          <w:tcPr>
            <w:tcW w:type="dxa" w:w="3331"/>
            <w:vAlign w:val="center"/>
            <w:tcMar>
              <w:top w:w="55" w:type="dxa"/>
              <w:start w:w="85" w:type="dxa"/>
              <w:bottom w:w="55" w:type="dxa"/>
              <w:end w:w="85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5"/>
              </w:rPr>
              <w:t>通过全部 gates；含 canonical instance、环境、reference、evaluator、rights 与 final approval</w:t>
            </w:r>
          </w:p>
        </w:tc>
      </w:tr>
      <w:tr>
        <w:trPr>
          <w:cantSplit/>
        </w:trPr>
        <w:tc>
          <w:tcPr>
            <w:tcW w:type="dxa" w:w="3331"/>
            <w:vAlign w:val="center"/>
            <w:tcMar>
              <w:top w:w="55" w:type="dxa"/>
              <w:start w:w="85" w:type="dxa"/>
              <w:bottom w:w="55" w:type="dxa"/>
              <w:end w:w="85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5"/>
              </w:rPr>
              <w:t>Additional Instance Acceptance</w:t>
            </w:r>
          </w:p>
        </w:tc>
        <w:tc>
          <w:tcPr>
            <w:tcW w:type="dxa" w:w="3331"/>
            <w:vAlign w:val="center"/>
            <w:tcMar>
              <w:top w:w="55" w:type="dxa"/>
              <w:start w:w="85" w:type="dxa"/>
              <w:bottom w:w="55" w:type="dxa"/>
              <w:end w:w="85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5"/>
              </w:rPr>
              <w:t>530 个有边际测量价值的 instances</w:t>
            </w:r>
          </w:p>
        </w:tc>
        <w:tc>
          <w:tcPr>
            <w:tcW w:type="dxa" w:w="3331"/>
            <w:vAlign w:val="center"/>
            <w:tcMar>
              <w:top w:w="55" w:type="dxa"/>
              <w:start w:w="85" w:type="dxa"/>
              <w:bottom w:w="55" w:type="dxa"/>
              <w:end w:w="85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5"/>
              </w:rPr>
              <w:t>明确 parent workflow 与 variation dimension；cosmetic variant 不计</w:t>
            </w:r>
          </w:p>
        </w:tc>
      </w:tr>
      <w:tr>
        <w:trPr>
          <w:cantSplit/>
        </w:trPr>
        <w:tc>
          <w:tcPr>
            <w:tcW w:type="dxa" w:w="3331"/>
            <w:vAlign w:val="center"/>
            <w:tcMar>
              <w:top w:w="55" w:type="dxa"/>
              <w:start w:w="85" w:type="dxa"/>
              <w:bottom w:w="55" w:type="dxa"/>
              <w:end w:w="85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5"/>
              </w:rPr>
              <w:t>Gap-fill</w:t>
            </w:r>
          </w:p>
        </w:tc>
        <w:tc>
          <w:tcPr>
            <w:tcW w:type="dxa" w:w="3331"/>
            <w:vAlign w:val="center"/>
            <w:tcMar>
              <w:top w:w="55" w:type="dxa"/>
              <w:start w:w="85" w:type="dxa"/>
              <w:bottom w:w="55" w:type="dxa"/>
              <w:end w:w="85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5"/>
              </w:rPr>
              <w:t>0–40 个 customer-specific workflows</w:t>
            </w:r>
          </w:p>
        </w:tc>
        <w:tc>
          <w:tcPr>
            <w:tcW w:type="dxa" w:w="3331"/>
            <w:vAlign w:val="center"/>
            <w:tcMar>
              <w:top w:w="55" w:type="dxa"/>
              <w:start w:w="85" w:type="dxa"/>
              <w:bottom w:w="55" w:type="dxa"/>
              <w:end w:w="85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5"/>
              </w:rPr>
              <w:t>仅在客户缺口有书面证据和 change approval 时启用</w:t>
            </w:r>
          </w:p>
        </w:tc>
      </w:tr>
      <w:tr>
        <w:trPr>
          <w:cantSplit/>
        </w:trPr>
        <w:tc>
          <w:tcPr>
            <w:tcW w:type="dxa" w:w="3331"/>
            <w:vAlign w:val="center"/>
            <w:tcMar>
              <w:top w:w="55" w:type="dxa"/>
              <w:start w:w="85" w:type="dxa"/>
              <w:bottom w:w="55" w:type="dxa"/>
              <w:end w:w="85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5"/>
              </w:rPr>
              <w:t>Run &amp; Service</w:t>
            </w:r>
          </w:p>
        </w:tc>
        <w:tc>
          <w:tcPr>
            <w:tcW w:type="dxa" w:w="3331"/>
            <w:vAlign w:val="center"/>
            <w:tcMar>
              <w:top w:w="55" w:type="dxa"/>
              <w:start w:w="85" w:type="dxa"/>
              <w:bottom w:w="55" w:type="dxa"/>
              <w:end w:w="85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5"/>
              </w:rPr>
              <w:t>QA、repeats、正式评测、托管、算力与 licensed software</w:t>
            </w:r>
          </w:p>
        </w:tc>
        <w:tc>
          <w:tcPr>
            <w:tcW w:type="dxa" w:w="3331"/>
            <w:vAlign w:val="center"/>
            <w:tcMar>
              <w:top w:w="55" w:type="dxa"/>
              <w:start w:w="85" w:type="dxa"/>
              <w:bottom w:w="55" w:type="dxa"/>
              <w:end w:w="85" w:type="dxa"/>
            </w:tcMar>
            <w:shd w:fill="F8FAFC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5"/>
              </w:rPr>
              <w:t>与 workflow/instance 数量分账</w:t>
            </w:r>
          </w:p>
        </w:tc>
      </w:tr>
      <w:tr>
        <w:trPr>
          <w:cantSplit/>
        </w:trPr>
        <w:tc>
          <w:tcPr>
            <w:tcW w:type="dxa" w:w="3331"/>
            <w:vAlign w:val="center"/>
            <w:tcMar>
              <w:top w:w="55" w:type="dxa"/>
              <w:start w:w="85" w:type="dxa"/>
              <w:bottom w:w="55" w:type="dxa"/>
              <w:end w:w="85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5"/>
              </w:rPr>
              <w:t>Change / Repair</w:t>
            </w:r>
          </w:p>
        </w:tc>
        <w:tc>
          <w:tcPr>
            <w:tcW w:type="dxa" w:w="3331"/>
            <w:vAlign w:val="center"/>
            <w:tcMar>
              <w:top w:w="55" w:type="dxa"/>
              <w:start w:w="85" w:type="dxa"/>
              <w:bottom w:w="55" w:type="dxa"/>
              <w:end w:w="85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5"/>
              </w:rPr>
              <w:t>版本升级、incident、regrade、replacement 与 retirement</w:t>
            </w:r>
          </w:p>
        </w:tc>
        <w:tc>
          <w:tcPr>
            <w:tcW w:type="dxa" w:w="3331"/>
            <w:vAlign w:val="center"/>
            <w:tcMar>
              <w:top w:w="55" w:type="dxa"/>
              <w:start w:w="85" w:type="dxa"/>
              <w:bottom w:w="55" w:type="dxa"/>
              <w:end w:w="85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i w:val="0"/>
                <w:color w:val="1F2937"/>
                <w:sz w:val="15"/>
              </w:rPr>
              <w:t>供应方缺陷修复不得伪装成新增资产</w:t>
            </w:r>
          </w:p>
        </w:tc>
      </w:tr>
    </w:tbl>
    <w:p>
      <w:pPr>
        <w:spacing w:after="0" w:before="0"/>
      </w:pPr>
    </w:p>
    <w:p>
      <w:pPr>
        <w:keepLines w:val="0"/>
      </w:pPr>
      <w:r>
        <w:rPr>
          <w:rFonts w:ascii="Calibri" w:hAnsi="Calibri" w:eastAsia="Microsoft YaHei"/>
          <w:i w:val="0"/>
          <w:color w:val="1F2937"/>
          <w:sz w:val="21"/>
        </w:rPr>
        <w:t>所有资产在商业访问意义上均为客户私有，但用途必须隔离：development/integration、restricted validation、sealed private final、private rotation reserve、retired audit archive；只有合同明确允许时才建立 training pool。任何进入训练或被反复调试的 concrete instance，永久失去 unseen-final 身份。</w:t>
      </w:r>
    </w:p>
    <w:p>
      <w:pPr>
        <w:pStyle w:val="Heading1"/>
      </w:pPr>
      <w:r>
        <w:rPr>
          <w:rFonts w:ascii="Calibri" w:hAnsi="Calibri" w:eastAsia="Microsoft YaHei"/>
          <w:b/>
          <w:i w:val="0"/>
          <w:color w:val="17365D"/>
          <w:sz w:val="32"/>
        </w:rPr>
        <w:t>8. 原创 worked task：B2B SaaS 营销绩效与预算重分配</w:t>
      </w:r>
    </w:p>
    <w:p>
      <w:pPr>
        <w:keepLines w:val="0"/>
      </w:pPr>
      <w:r>
        <w:rPr>
          <w:rFonts w:ascii="Calibri" w:hAnsi="Calibri" w:eastAsia="Microsoft YaHei"/>
          <w:i w:val="0"/>
          <w:color w:val="1F2937"/>
          <w:sz w:val="21"/>
        </w:rPr>
        <w:t>为展示方法如何落地，我会提供一个 Business &amp; Finance workflow：agent 在 fresh Windows VM 中使用 spreadsheet 工具，核对广告平台、CRM、订阅/退款和财务确认收入，交付可审计 workbook 与一页决策 memo。Hidden reference 保存 canonical ledger、join relations、metric invariants、预算约束和多个合法解；evaluator 检查文件完整性、reconciliation、时区/币种/归因、指标 lineage、预算 feasibility 与 memo 数字一致性，并用重复 ID、缺失 UTM、refund lag、跨币种、外链注入和不可行预算等 red-team cases 验证 scorer。</w:t>
      </w:r>
    </w:p>
    <w:p>
      <w:pPr>
        <w:keepLines w:val="0"/>
      </w:pPr>
      <w:r>
        <w:rPr>
          <w:rFonts w:ascii="Calibri" w:hAnsi="Calibri" w:eastAsia="Microsoft YaHei"/>
          <w:i w:val="0"/>
          <w:color w:val="1F2937"/>
          <w:sz w:val="21"/>
        </w:rPr>
        <w:t xml:space="preserve">这一题把 </w:t>
      </w:r>
      <w:r>
        <w:rPr>
          <w:rFonts w:ascii="Consolas" w:hAnsi="Consolas" w:eastAsia="Microsoft YaHei"/>
          <w:color w:val="17365D"/>
          <w:sz w:val="20"/>
        </w:rPr>
        <w:t>workflow → inputs → environment → reference → evaluator → red team → QC → release</w:t>
      </w:r>
      <w:r>
        <w:rPr>
          <w:rFonts w:ascii="Calibri" w:hAnsi="Calibri" w:eastAsia="Microsoft YaHei"/>
          <w:i w:val="0"/>
          <w:color w:val="1F2937"/>
          <w:sz w:val="21"/>
        </w:rPr>
        <w:t xml:space="preserve"> 全链闭合，同时允许多种满足约束的预算方案，不把“与标准答案不同”误判为错误。完整 task card 见</w:t>
      </w:r>
      <w:hyperlink r:id="rId12">
        <w:r>
          <w:rPr>
            <w:rFonts w:ascii="Calibri" w:hAnsi="Calibri" w:eastAsia="Microsoft YaHei"/>
            <w:color w:val="245B8A"/>
            <w:u w:val="single"/>
          </w:rPr>
          <w:t>完整技术报告 §11</w:t>
        </w:r>
      </w:hyperlink>
      <w:r>
        <w:rPr>
          <w:rFonts w:ascii="Calibri" w:hAnsi="Calibri" w:eastAsia="Microsoft YaHei"/>
          <w:i w:val="0"/>
          <w:color w:val="1F2937"/>
          <w:sz w:val="21"/>
        </w:rPr>
        <w:t>。</w:t>
      </w:r>
    </w:p>
    <w:p>
      <w:pPr>
        <w:pStyle w:val="Heading1"/>
      </w:pPr>
      <w:r>
        <w:rPr>
          <w:rFonts w:ascii="Calibri" w:hAnsi="Calibri" w:eastAsia="Microsoft YaHei"/>
          <w:b/>
          <w:i w:val="0"/>
          <w:color w:val="17365D"/>
          <w:sz w:val="32"/>
        </w:rPr>
        <w:t>9. 能够声称什么，以及下一步</w:t>
      </w:r>
    </w:p>
    <w:p>
      <w:pPr>
        <w:keepLines w:val="0"/>
      </w:pPr>
      <w:r>
        <w:rPr>
          <w:rFonts w:ascii="Calibri" w:hAnsi="Calibri" w:eastAsia="Microsoft YaHei"/>
          <w:i w:val="0"/>
          <w:color w:val="1F2937"/>
          <w:sz w:val="21"/>
        </w:rPr>
        <w:t>这套产品能够支持的结论是：在冻结的 ALE-v2-matched coverage、配置、affordance、预算和 evaluator revision 下，一个 agent system 对客户私有专业 workflows 的完成表现、失败结构、成本和稳定性。</w:t>
      </w:r>
    </w:p>
    <w:p>
      <w:pPr>
        <w:keepLines w:val="0"/>
      </w:pPr>
      <w:r>
        <w:rPr>
          <w:rFonts w:ascii="Calibri" w:hAnsi="Calibri" w:eastAsia="Microsoft YaHei"/>
          <w:i w:val="0"/>
          <w:color w:val="1F2937"/>
          <w:sz w:val="21"/>
        </w:rPr>
        <w:t>它不能自动证明 human parity、岗位替代、总体经济影响、真实部署可靠性、整个职业市场代表性或绝对无污染。若客户需要 matched-human，主臂应为近期仍在实践、未参与出题、与目标 workflow 匹配的 experts，并匹配 instruction、software、internet、time、attempts 和 output contract；generalist、author 与 human+AI 必须分臂报告。统计与 human protocol 见</w:t>
      </w:r>
      <w:hyperlink r:id="rId17">
        <w:r>
          <w:rPr>
            <w:rFonts w:ascii="Calibri" w:hAnsi="Calibri" w:eastAsia="Microsoft YaHei"/>
            <w:color w:val="245B8A"/>
            <w:u w:val="single"/>
          </w:rPr>
          <w:t>统计和 matched-human 方案</w:t>
        </w:r>
      </w:hyperlink>
      <w:r>
        <w:rPr>
          <w:rFonts w:ascii="Calibri" w:hAnsi="Calibri" w:eastAsia="Microsoft YaHei"/>
          <w:i w:val="0"/>
          <w:color w:val="1F2937"/>
          <w:sz w:val="21"/>
        </w:rPr>
        <w:t>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1F2937"/>
          <w:sz w:val="21"/>
        </w:rPr>
        <w:t>当前不需要再提出新的 deep-research 问题。</w:t>
      </w:r>
      <w:r>
        <w:rPr>
          <w:rFonts w:ascii="Calibri" w:hAnsi="Calibri" w:eastAsia="Microsoft YaHei"/>
          <w:i w:val="0"/>
          <w:color w:val="1F2937"/>
          <w:sz w:val="21"/>
        </w:rPr>
        <w:t xml:space="preserve"> 11 个研究模块已经覆盖产品、taxonomy、production、RACI、evaluator、environment、statistics、human baseline、integrity、living governance、pilot 和 worked task。下一步是由客户在立项时冻结 intended use/claims、语言与地区、软件与 license、run budget、维护/incident SLA、Benchmark Owner、Rights/Security Owner、Final Approver，以及是否采购持续托管与运行服务。这些是合同决策，不是桌面研究缺口。</w:t>
      </w:r>
    </w:p>
    <w:p>
      <w:pPr>
        <w:spacing w:before="40" w:after="80"/>
        <w:pBdr>
          <w:bottom w:val="single" w:sz="6" w:space="1" w:color="D9E2EC"/>
        </w:pBdr>
      </w:pPr>
    </w:p>
    <w:p>
      <w:pPr>
        <w:pStyle w:val="Heading2"/>
      </w:pPr>
      <w:r>
        <w:rPr>
          <w:rFonts w:ascii="Calibri" w:hAnsi="Calibri" w:eastAsia="Microsoft YaHei"/>
          <w:b/>
          <w:i w:val="0"/>
          <w:color w:val="245B8A"/>
          <w:sz w:val="26"/>
        </w:rPr>
        <w:t>进一步阅读</w:t>
      </w:r>
    </w:p>
    <w:p>
      <w:pPr>
        <w:pStyle w:val="ListBullet"/>
      </w:pPr>
      <w:hyperlink r:id="rId12">
        <w:r>
          <w:rPr>
            <w:rFonts w:ascii="Calibri" w:hAnsi="Calibri" w:eastAsia="Microsoft YaHei"/>
            <w:color w:val="245B8A"/>
            <w:u w:val="single"/>
          </w:rPr>
          <w:t>完整技术报告：960 workflows / 1,490 instances</w:t>
        </w:r>
      </w:hyperlink>
    </w:p>
    <w:p>
      <w:pPr>
        <w:pStyle w:val="ListBullet"/>
      </w:pPr>
      <w:hyperlink r:id="rId13">
        <w:r>
          <w:rPr>
            <w:rFonts w:ascii="Calibri" w:hAnsi="Calibri" w:eastAsia="Microsoft YaHei"/>
            <w:color w:val="245B8A"/>
            <w:u w:val="single"/>
          </w:rPr>
          <w:t>ALE 技术蓝图与版本审计</w:t>
        </w:r>
      </w:hyperlink>
    </w:p>
    <w:p>
      <w:pPr>
        <w:pStyle w:val="ListBullet"/>
      </w:pPr>
      <w:hyperlink r:id="rId14">
        <w:r>
          <w:rPr>
            <w:rFonts w:ascii="Calibri" w:hAnsi="Calibri" w:eastAsia="Microsoft YaHei"/>
            <w:color w:val="245B8A"/>
            <w:u w:val="single"/>
          </w:rPr>
          <w:t>专家生产治理与完整 RACI</w:t>
        </w:r>
      </w:hyperlink>
    </w:p>
    <w:p>
      <w:pPr>
        <w:pStyle w:val="ListBullet"/>
      </w:pPr>
      <w:hyperlink r:id="rId15">
        <w:r>
          <w:rPr>
            <w:rFonts w:ascii="Calibri" w:hAnsi="Calibri" w:eastAsia="Microsoft YaHei"/>
            <w:color w:val="245B8A"/>
            <w:u w:val="single"/>
          </w:rPr>
          <w:t>Evaluator validity 与评分完整性</w:t>
        </w:r>
      </w:hyperlink>
    </w:p>
    <w:p>
      <w:pPr>
        <w:pStyle w:val="ListBullet"/>
      </w:pPr>
      <w:hyperlink r:id="rId16">
        <w:r>
          <w:rPr>
            <w:rFonts w:ascii="Calibri" w:hAnsi="Calibri" w:eastAsia="Microsoft YaHei"/>
            <w:color w:val="245B8A"/>
            <w:u w:val="single"/>
          </w:rPr>
          <w:t>Environment execution reference architecture</w:t>
        </w:r>
      </w:hyperlink>
    </w:p>
    <w:p>
      <w:pPr>
        <w:pStyle w:val="ListBullet"/>
      </w:pPr>
      <w:hyperlink r:id="rId18">
        <w:r>
          <w:rPr>
            <w:rFonts w:ascii="Calibri" w:hAnsi="Calibri" w:eastAsia="Microsoft YaHei"/>
            <w:color w:val="245B8A"/>
            <w:u w:val="single"/>
          </w:rPr>
          <w:t>Living benchmark governance</w:t>
        </w:r>
      </w:hyperlink>
    </w:p>
    <w:p>
      <w:pPr>
        <w:pStyle w:val="ListBullet"/>
      </w:pPr>
      <w:hyperlink r:id="rId17">
        <w:r>
          <w:rPr>
            <w:rFonts w:ascii="Calibri" w:hAnsi="Calibri" w:eastAsia="Microsoft YaHei"/>
            <w:color w:val="245B8A"/>
            <w:u w:val="single"/>
          </w:rPr>
          <w:t>Statistics 与 matched-human protocol</w:t>
        </w:r>
      </w:hyperlink>
    </w:p>
    <w:sectPr>
      <w:headerReference w:type="default" r:id="rId9"/>
      <w:footerReference w:type="default" r:id="rId10"/>
      <w:pgSz w:w="12240" w:h="15840"/>
      <w:pgMar w:top="1037" w:right="1123" w:bottom="979" w:left="1123" w:header="432" w:footer="432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/>
      <w:jc w:val="right"/>
    </w:pPr>
    <w:r>
      <w:rPr>
        <w:rFonts w:ascii="Arial" w:hAnsi="Arial" w:eastAsia="Microsoft YaHei"/>
        <w:color w:val="5B6673"/>
        <w:sz w:val="14"/>
      </w:rPr>
      <w:t xml:space="preserve">PAGE </w:t>
    </w:r>
    <w: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Arial" w:hAnsi="Arial" w:eastAsia="Microsoft YaHei"/>
        <w:color w:val="5B6673"/>
        <w:sz w:val="14"/>
      </w:rPr>
      <w:t>PRIVATE ALE-STYLE BENCHMARK  /  INTERVIEW BRIEF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84" w:line="250" w:lineRule="auto"/>
    </w:pPr>
    <w:rPr>
      <w:rFonts w:ascii="Arial" w:hAnsi="Arial" w:eastAsia="Microsoft YaHei"/>
      <w:color w:val="1F2937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10"/>
      <w:outlineLvl w:val="0"/>
    </w:pPr>
    <w:rPr>
      <w:rFonts w:asciiTheme="majorHAnsi" w:eastAsiaTheme="majorEastAsia" w:hAnsiTheme="majorHAnsi" w:cstheme="majorBidi" w:ascii="Arial" w:hAnsi="Arial" w:eastAsia="Microsoft YaHei"/>
      <w:b/>
      <w:bCs/>
      <w:color w:val="17365D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Arial" w:hAnsi="Arial" w:eastAsia="Microsoft YaHei"/>
      <w:b/>
      <w:bCs/>
      <w:color w:val="245B8A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60"/>
      <w:outlineLvl w:val="2"/>
    </w:pPr>
    <w:rPr>
      <w:rFonts w:asciiTheme="majorHAnsi" w:eastAsiaTheme="majorEastAsia" w:hAnsiTheme="majorHAnsi" w:cstheme="majorBidi" w:ascii="Arial" w:hAnsi="Arial" w:eastAsia="Microsoft YaHei"/>
      <w:b/>
      <w:bCs/>
      <w:color w:val="17365D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4" w:line="245" w:lineRule="auto"/>
      <w:ind w:left="346" w:hanging="230"/>
      <w:contextualSpacing/>
    </w:pPr>
    <w:rPr>
      <w:rFonts w:ascii="Arial" w:hAnsi="Arial" w:eastAsia="Microsoft YaHei"/>
      <w:sz w:val="1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44" w:line="245" w:lineRule="auto"/>
      <w:ind w:left="346" w:hanging="230"/>
      <w:contextualSpacing/>
    </w:pPr>
    <w:rPr>
      <w:rFonts w:ascii="Arial" w:hAnsi="Arial" w:eastAsia="Microsoft YaHei"/>
      <w:sz w:val="1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github.com/130U/agents-last-exam/blob/main/core/02-1000-task-delivery-design/01-scope-and-product-definition/decision-report-2026-08-08.md" TargetMode="External"/><Relationship Id="rId12" Type="http://schemas.openxmlformats.org/officeDocument/2006/relationships/hyperlink" Target="https://github.com/130U/agents-last-exam/blob/codex/ale-deliverable-draft-v1/core/00-executive-deliverables/drafts/ale-private-clone-960-workflows-1490-instances-delivery-report-draft-v3-2026-08-09.md" TargetMode="External"/><Relationship Id="rId13" Type="http://schemas.openxmlformats.org/officeDocument/2006/relationships/hyperlink" Target="https://github.com/130U/agents-last-exam/blob/main/core/02-1000-task-delivery-design/02-ale-blueprint-and-version-audit/technical-blueprint-2026-08-08.md" TargetMode="External"/><Relationship Id="rId14" Type="http://schemas.openxmlformats.org/officeDocument/2006/relationships/hyperlink" Target="https://github.com/130U/agents-last-exam/blob/main/core/02-1000-task-delivery-design/06-expert-production-governance/expert-production-governance-report-2026-08-09.md" TargetMode="External"/><Relationship Id="rId15" Type="http://schemas.openxmlformats.org/officeDocument/2006/relationships/hyperlink" Target="https://github.com/130U/agents-last-exam/blob/main/core/02-1000-task-delivery-design/07-evaluator-validity-and-integrity/evaluator-validity-and-scoring-integrity-report-2026-08-09.md" TargetMode="External"/><Relationship Id="rId16" Type="http://schemas.openxmlformats.org/officeDocument/2006/relationships/hyperlink" Target="https://github.com/130U/agents-last-exam/blob/main/core/02-1000-task-delivery-design/08-environment-execution-reference-architecture/environment-execution-reference-architecture-report-2026-08-09.md" TargetMode="External"/><Relationship Id="rId17" Type="http://schemas.openxmlformats.org/officeDocument/2006/relationships/hyperlink" Target="https://github.com/130U/agents-last-exam/blob/main/core/02-1000-task-delivery-design/10-statistical-and-matched-human-protocol/statistical-and-matched-human-protocol-2026-08-09.md" TargetMode="External"/><Relationship Id="rId18" Type="http://schemas.openxmlformats.org/officeDocument/2006/relationships/hyperlink" Target="https://github.com/130U/agents-last-exam/blob/main/core/02-1000-task-delivery-design/09-living-benchmark-governance/living-benchmark-governance-report-2026-08-09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客户私有 ALE-style Benchmark：交付建议书</dc:title>
  <dc:subject>960–1,000 workflows / 1,490+ runnable instances</dc:subject>
  <dc:creator/>
  <cp:keywords/>
  <dc:description>External interview brief; detailed evidence is linked in the repository.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