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000000"/>
          <w:sz w:val="46"/>
        </w:rPr>
        <w:t>DELIVERY DESIGN MEMO</w:t>
      </w:r>
    </w:p>
    <w:p>
      <w:pPr>
        <w:spacing w:after="280"/>
      </w:pPr>
      <w:r>
        <w:rPr>
          <w:rFonts w:ascii="Calibri" w:hAnsi="Calibri" w:eastAsia="Microsoft YaHei"/>
          <w:color w:val="373737"/>
          <w:sz w:val="28"/>
        </w:rPr>
        <w:t>1,000 ALE-style Tasks: Scope Definition and Executable Production Plan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 xml:space="preserve">Purpose: </w:t>
      </w:r>
      <w:r>
        <w:rPr>
          <w:rFonts w:ascii="Calibri" w:hAnsi="Calibri" w:eastAsia="Microsoft YaHei"/>
          <w:color w:val="000000"/>
          <w:sz w:val="22"/>
        </w:rPr>
        <w:t>Interview take-home / client delivery design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 xml:space="preserve">Version: </w:t>
      </w:r>
      <w:r>
        <w:rPr>
          <w:rFonts w:ascii="Calibri" w:hAnsi="Calibri" w:eastAsia="Microsoft YaHei"/>
          <w:color w:val="000000"/>
          <w:sz w:val="22"/>
        </w:rPr>
        <w:t>v0.2 - editable working draft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 xml:space="preserve">Date: </w:t>
      </w:r>
      <w:r>
        <w:rPr>
          <w:rFonts w:ascii="Calibri" w:hAnsi="Calibri" w:eastAsia="Microsoft YaHei"/>
          <w:color w:val="000000"/>
          <w:sz w:val="22"/>
        </w:rPr>
        <w:t>2026-08-08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 xml:space="preserve">Reference: </w:t>
      </w:r>
      <w:r>
        <w:rPr>
          <w:rFonts w:ascii="Calibri" w:hAnsi="Calibri" w:eastAsia="Microsoft YaHei"/>
          <w:color w:val="000000"/>
          <w:sz w:val="22"/>
        </w:rPr>
        <w:t>Agents' Last Exam, arXiv:2606.05405v2</w:t>
      </w:r>
    </w:p>
    <w:p>
      <w:pPr>
        <w:spacing w:before="160" w:after="200"/>
        <w:pBdr>
          <w:bottom w:val="single" w:sz="12" w:space="3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F6000"/>
          <w:left w:val="single" w:sz="8" w:space="0" w:color="7F6000"/>
          <w:bottom w:val="single" w:sz="8" w:space="0" w:color="7F6000"/>
          <w:right w:val="single" w:sz="8" w:space="0" w:color="7F6000"/>
          <w:insideH w:val="single" w:sz="8" w:space="0" w:color="7F6000"/>
          <w:insideV w:val="single" w:sz="8" w:space="0" w:color="7F60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F6000"/>
                <w:sz w:val="22"/>
              </w:rPr>
              <w:t xml:space="preserve">SCOPE LOCK / 可修改项 01  </w:t>
            </w:r>
            <w:r>
              <w:rPr>
                <w:rFonts w:ascii="Calibri" w:hAnsi="Calibri" w:eastAsia="Microsoft YaHei"/>
                <w:color w:val="000000"/>
                <w:sz w:val="22"/>
              </w:rPr>
              <w:t>本方案把客户的“1,000 条”定义为 1,000 个通过验收的可运行 instances。其内部结构固定为：960 个不同的专业 workflows 各产生 1 个主实例，另加 40 个关键流程的受控变体。该定义对齐 ALE v2 的 workflow 规模，但不声称复制 ALE 的 960 个原始 workflows。</w:t>
            </w:r>
          </w:p>
        </w:tc>
      </w:tr>
    </w:tbl>
    <w:p>
      <w:pPr>
        <w:spacing w:after="0" w:before="40"/>
      </w:pPr>
    </w:p>
    <w:p>
      <w:pPr>
        <w:pStyle w:val="Heading1"/>
        <w:keepNext/>
      </w:pPr>
      <w:r>
        <w:t>Executive decision</w:t>
      </w:r>
    </w:p>
    <w:p>
      <w:pPr>
        <w:keepNext w:val="0"/>
      </w:pPr>
      <w:r>
        <w:rPr>
          <w:rFonts w:ascii="Calibri" w:hAnsi="Calibri" w:eastAsia="Microsoft YaHei"/>
          <w:i w:val="0"/>
          <w:color w:val="000000"/>
          <w:sz w:val="22"/>
        </w:rPr>
        <w:t>这不是一个“生产一千条题目”的标注项目，而是一项测量系统建设工程。最终验收对象是可从干净环境启动、由 Agent 独立完成、能产出明确 artifact，并可被校准评分器复验的任务实例。</w:t>
      </w:r>
    </w:p>
    <w:p>
      <w:pPr>
        <w:keepNext w:val="0"/>
      </w:pPr>
      <w:r>
        <w:rPr>
          <w:rFonts w:ascii="Calibri" w:hAnsi="Calibri" w:eastAsia="Microsoft YaHei"/>
          <w:i w:val="0"/>
          <w:color w:val="000000"/>
          <w:sz w:val="22"/>
        </w:rPr>
        <w:t>ALE v2 的统计口径是 960 个 workflows 与 1,490 个 instances，二者不可混用。由于 ALE 只公开约 150 个任务，客户项目无法也不应以“复刻 ALE 私有题库”为目标；可执行目标应是建立一套与 ALE 同量级的 960-workflow 自有覆盖图，并交付 1,000 个已验收实例。</w:t>
      </w:r>
    </w:p>
    <w:p>
      <w:pPr>
        <w:pStyle w:val="Heading1"/>
        <w:keepNext/>
      </w:pPr>
      <w:r>
        <w:t>1. Deliverable definition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900"/>
        <w:gridCol w:w="900"/>
        <w:gridCol w:w="1700"/>
        <w:gridCol w:w="4860"/>
      </w:tblGrid>
      <w:tr>
        <w:trPr>
          <w:tblHeader w:val="true"/>
          <w:cantSplit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交付池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数量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计数单位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用途与规则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开发与校准集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 workflows / instances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供客户理解格式、联调 harness、校准评分器；不得用于最终排名。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私有最终测试集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760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 workflows / instances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冻结后仅由受控评测服务访问；作为正式比较与验收主集。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滚动替换储备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 workflows / instances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用于题目泄漏、软件升级或评分器失效后的版本替换。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关键流程变体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instances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从高价值、高风险流程中选 40 个，各增加 1 个输入或约束变体，用于鲁棒性检查。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最终合计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1,000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accepted instances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对应 960 个不同 workflows；全部通过质量门槛后方可计入。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生产候选池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1,250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candidate instances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 80% 最终通过率设置 25% 生产缓冲；未通过项进入返工或淘汰，不混入交付数。</w:t>
            </w:r>
          </w:p>
        </w:tc>
      </w:tr>
    </w:tbl>
    <w:p>
      <w:pPr>
        <w:spacing w:before="4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375623"/>
          <w:left w:val="single" w:sz="8" w:space="0" w:color="375623"/>
          <w:bottom w:val="single" w:sz="8" w:space="0" w:color="375623"/>
          <w:right w:val="single" w:sz="8" w:space="0" w:color="375623"/>
          <w:insideH w:val="single" w:sz="8" w:space="0" w:color="375623"/>
          <w:insideV w:val="single" w:sz="8" w:space="0" w:color="37562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375623"/>
                <w:sz w:val="22"/>
              </w:rPr>
              <w:t xml:space="preserve">RATIONALE  </w:t>
            </w:r>
            <w:r>
              <w:rPr>
                <w:rFonts w:ascii="Calibri" w:hAnsi="Calibri" w:eastAsia="Microsoft YaHei"/>
                <w:color w:val="000000"/>
                <w:sz w:val="22"/>
              </w:rPr>
              <w:t>“至少覆盖 960 workflows”在本方案中的含义是：建立 960 个彼此独立、具有不同工作目标或交付物的客户工作流，而不是给 960 个 ALE 私有题目换写 prompt。仅替换数字、公司名或输入文件，不产生新的 workflow，只能计为 instance variant。</w:t>
            </w:r>
          </w:p>
        </w:tc>
      </w:tr>
    </w:tbl>
    <w:p>
      <w:pPr>
        <w:spacing w:after="0" w:before="40"/>
      </w:pPr>
    </w:p>
    <w:p>
      <w:pPr>
        <w:pStyle w:val="Heading1"/>
        <w:keepNext/>
      </w:pPr>
      <w:r>
        <w:t>2. Coverage allocation: 13 clusters / 55 subdomains</w:t>
      </w:r>
    </w:p>
    <w:p>
      <w:pPr>
        <w:keepNext w:val="0"/>
      </w:pPr>
      <w:r>
        <w:rPr>
          <w:rFonts w:ascii="Calibri" w:hAnsi="Calibri" w:eastAsia="Microsoft YaHei"/>
          <w:i w:val="0"/>
          <w:color w:val="000000"/>
          <w:sz w:val="22"/>
        </w:rPr>
        <w:t>项目采用 ALE 的 13 个行业集群、55 个子领域作为一级覆盖框架，再由客户业务优先级进行二次加权。960 个 workflows 的分配在第 2 周冻结，方法如下：</w:t>
      </w:r>
    </w:p>
    <w:p>
      <w:pPr>
        <w:pStyle w:val="ListNumber"/>
        <w:keepLines/>
      </w:pPr>
      <w:r>
        <w:rPr>
          <w:rFonts w:ascii="Calibri" w:hAnsi="Calibri" w:eastAsia="Microsoft YaHei"/>
          <w:color w:val="000000"/>
          <w:sz w:val="22"/>
        </w:rPr>
        <w:t>为每个子领域设置 10 个 workflow 的最低覆盖量，共 550 个，防止高流量领域挤压长尾能力。</w:t>
      </w:r>
    </w:p>
    <w:p>
      <w:pPr>
        <w:pStyle w:val="ListNumber"/>
        <w:keepLines/>
      </w:pPr>
      <w:r>
        <w:rPr>
          <w:rFonts w:ascii="Calibri" w:hAnsi="Calibri" w:eastAsia="Microsoft YaHei"/>
          <w:color w:val="000000"/>
          <w:sz w:val="22"/>
        </w:rPr>
        <w:t>剩余 410 个 workflow 使用加权分配公式：客户重要性 40% + 经济价值 30% + 当前能力缺口 20% + 环境可实现性 10%。每项按 1-5 分评分。</w:t>
      </w:r>
    </w:p>
    <w:p>
      <w:pPr>
        <w:pStyle w:val="ListNumber"/>
        <w:keepLines/>
      </w:pPr>
      <w:r>
        <w:rPr>
          <w:rFonts w:ascii="Calibri" w:hAnsi="Calibri" w:eastAsia="Microsoft YaHei"/>
          <w:color w:val="000000"/>
          <w:sz w:val="22"/>
        </w:rPr>
        <w:t>采用最大余数法把 410 个整数名额分配到 55 个子领域；任何单一子领域不得超过总量的 8%，除非客户书面批准。</w:t>
      </w:r>
    </w:p>
    <w:p>
      <w:pPr>
        <w:pStyle w:val="ListNumber"/>
        <w:keepLines/>
      </w:pPr>
      <w:r>
        <w:rPr>
          <w:rFonts w:ascii="Calibri" w:hAnsi="Calibri" w:eastAsia="Microsoft YaHei"/>
          <w:color w:val="000000"/>
          <w:sz w:val="22"/>
        </w:rPr>
        <w:t>每个子领域至少包含 3 类任务：信息获取/分析、工具操作/产出、复核/决策；避免把覆盖等同于职业名称罗列。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F6000"/>
          <w:left w:val="single" w:sz="8" w:space="0" w:color="7F6000"/>
          <w:bottom w:val="single" w:sz="8" w:space="0" w:color="7F6000"/>
          <w:right w:val="single" w:sz="8" w:space="0" w:color="7F6000"/>
          <w:insideH w:val="single" w:sz="8" w:space="0" w:color="7F6000"/>
          <w:insideV w:val="single" w:sz="8" w:space="0" w:color="7F60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F6000"/>
                <w:sz w:val="22"/>
              </w:rPr>
              <w:t xml:space="preserve">可修改项 02 / CLIENT INPUT REQUIRED  </w:t>
            </w:r>
            <w:r>
              <w:rPr>
                <w:rFonts w:ascii="Calibri" w:hAnsi="Calibri" w:eastAsia="Microsoft YaHei"/>
                <w:color w:val="000000"/>
                <w:sz w:val="22"/>
              </w:rPr>
              <w:t>第 1 周客户需要提交业务优先级、禁用领域、软件许可边界和数据隐私等级。若客户未提供，项目仍按上述公式启动，但所有权重与分配结果会作为第一项正式签字件，而不是隐藏假设。</w:t>
            </w:r>
          </w:p>
        </w:tc>
      </w:tr>
    </w:tbl>
    <w:p>
      <w:pPr>
        <w:spacing w:after="0" w:before="40"/>
      </w:pPr>
    </w:p>
    <w:p>
      <w:r>
        <w:br w:type="page"/>
      </w:r>
    </w:p>
    <w:p>
      <w:pPr>
        <w:pStyle w:val="Heading1"/>
        <w:keepNext/>
      </w:pPr>
      <w:r>
        <w:t>3. Task contract: every instance is an executable package</w:t>
      </w:r>
    </w:p>
    <w:p>
      <w:pPr>
        <w:keepNext w:val="0"/>
      </w:pPr>
      <w:r>
        <w:rPr>
          <w:rFonts w:ascii="Calibri" w:hAnsi="Calibri" w:eastAsia="Microsoft YaHei"/>
          <w:i w:val="0"/>
          <w:color w:val="000000"/>
          <w:sz w:val="22"/>
        </w:rPr>
        <w:t>每个实例必须包含下列 12 个版本化组件，缺一项即不得进入最终 QC：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workflow_id 与 instance_id：分别标识专业流程和可运行变体；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domain / subdomain / role 标签及覆盖配额来源；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专家署名记录、资历验证和冲突声明；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面向 Agent 的任务说明、成功标准和禁止事项；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输入文件包、数据来源、许可、隐私和脱敏记录；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操作系统、软件版本、账号权限和工具 manifest；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可复现的环境快照与启动/重置脚本；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专家参考产物或可接受结果集合；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evaluate() 评分器、rubric 与各项权重；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正例、负例、边界例和 reward-hacking 测试；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dry-run 轨迹、缺陷记录、修订历史和审批人；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split 标签、版本号、访问权限、泄漏状态和退役规则。</w:t>
      </w:r>
    </w:p>
    <w:p>
      <w:pPr>
        <w:pStyle w:val="Heading1"/>
        <w:keepNext/>
      </w:pPr>
      <w:r>
        <w:t>4. Seven quality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900"/>
        <w:gridCol w:w="1900"/>
        <w:gridCol w:w="2500"/>
        <w:gridCol w:w="4060"/>
      </w:tblGrid>
      <w:tr>
        <w:trPr>
          <w:tblHeader w:val="true"/>
          <w:cantSplit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Gate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责任人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强制产出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G0 需求与覆盖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Program Lead + Domain Lead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workflow brief、配额映射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目标、交付物、用户价值和边界均明确；不与现有 workflow 重复。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G1 专家与来源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Domain Lead + Legal/Privacy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专家记录、来源清单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资历通过；数据授权、隐私和许可无阻断项。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G2 任务工程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Task Engineer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环境、工具、输入、reference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从干净快照连续 3 次可启动；工具可用率 100%。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G3 Prompt-Verifier 对齐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Evaluation Engineer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覆盖矩阵、评分器、测试集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每项要求均被评分；每项评分均有 prompt 或成功标准依据。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G4 工程师 dry-run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Independent QA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完整轨迹、缺陷单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非作者可独立完成；无缺失上下文、阻断工具或隐藏人工步骤。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G5 对抗与校准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Red-team QA + SME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负例、边界例、作弊测试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reference=1.0；空/损坏输出≤0.1；关键错误不能获得高分。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G6 最终验收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Acceptance Committee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签字记录、split/version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所有缺陷关闭；复跑通过；权限和私有集状态正确。</w:t>
            </w:r>
          </w:p>
        </w:tc>
      </w:tr>
    </w:tbl>
    <w:p>
      <w:pPr>
        <w:spacing w:before="4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C0006"/>
          <w:left w:val="single" w:sz="8" w:space="0" w:color="9C0006"/>
          <w:bottom w:val="single" w:sz="8" w:space="0" w:color="9C0006"/>
          <w:right w:val="single" w:sz="8" w:space="0" w:color="9C0006"/>
          <w:insideH w:val="single" w:sz="8" w:space="0" w:color="9C0006"/>
          <w:insideV w:val="single" w:sz="8" w:space="0" w:color="9C000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9C0006"/>
                <w:sz w:val="22"/>
              </w:rPr>
              <w:t xml:space="preserve">COUNTING RULE  </w:t>
            </w:r>
            <w:r>
              <w:rPr>
                <w:rFonts w:ascii="Calibri" w:hAnsi="Calibri" w:eastAsia="Microsoft YaHei"/>
                <w:color w:val="000000"/>
                <w:sz w:val="22"/>
              </w:rPr>
              <w:t>只有通过 G6 的任务才计入 1,000 个 accepted instances。待 QC、返工中、环境不可复现或仅有 prompt 没有评分器的项目全部不计数。</w:t>
            </w:r>
          </w:p>
        </w:tc>
      </w:tr>
    </w:tbl>
    <w:p>
      <w:pPr>
        <w:spacing w:after="0" w:before="40"/>
      </w:pPr>
    </w:p>
    <w:p>
      <w:pPr>
        <w:pStyle w:val="Heading1"/>
        <w:keepNext/>
      </w:pPr>
      <w:r>
        <w:t>5. Evaluation strategy by output type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0"/>
        <w:gridCol w:w="2600"/>
        <w:gridCol w:w="2600"/>
        <w:gridCol w:w="24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输出类型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主评分机制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人工介入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验收要求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客观可验证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确定性代码 / artifact checks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专家定义规则；QA 抽样 10%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同一输出重复评分一致；关键错误有明确扣分。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多解但可 rubric 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结构化 rubric + 部分确定性检查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 名专家独立复核校准集；分歧时第 3 人裁决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评分边界经至少 20 个样本校准；专家与自动评分趋势一致。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高度主观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专业人士盲法成对比较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每个比较由 3 名合格评审；2/3 一致，否则裁决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隐藏模型身份与生成顺序；报告胜率、置信区间及评审一致率。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高风险专业判断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自动检查 + 专家否决权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领域专家审查全部关键失败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严重安全、法律或事实错误触发 fail-closed，不被平均分掩盖。</w:t>
            </w:r>
          </w:p>
        </w:tc>
      </w:tr>
    </w:tbl>
    <w:p>
      <w:pPr>
        <w:spacing w:before="40" w:after="0"/>
      </w:pPr>
    </w:p>
    <w:p>
      <w:pPr>
        <w:keepNext w:val="0"/>
      </w:pPr>
      <w:r>
        <w:rPr>
          <w:rFonts w:ascii="Calibri" w:hAnsi="Calibri" w:eastAsia="Microsoft YaHei"/>
          <w:i w:val="0"/>
          <w:color w:val="000000"/>
          <w:sz w:val="22"/>
        </w:rPr>
        <w:t>ALE 的专家主要参与上游任务定义、参考结果和 rubric QC，运行时以自动评分为主。因此，本方案不把专家盲评当成所有任务的第六个统一步骤；它只用于主观质量或高风险判断确实决定任务成功的类别。</w:t>
      </w:r>
    </w:p>
    <w:p>
      <w:r>
        <w:br w:type="page"/>
      </w:r>
    </w:p>
    <w:p>
      <w:pPr>
        <w:pStyle w:val="Heading1"/>
        <w:keepNext/>
      </w:pPr>
      <w:r>
        <w:t>6. 24-week production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00"/>
        <w:gridCol w:w="1000"/>
        <w:gridCol w:w="1200"/>
        <w:gridCol w:w="57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时间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累计验收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关键动作与退出条件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Define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W1-W2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冻结 13/55 覆盖图、960 workflow 配额、数据政策、任务 schema 与验收标准。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Pilot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W3-W4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每个行业集群至少 3 个试点；验证 Windows/Linux 环境、评分器与 QC 工时。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Calibrate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W5-W8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完成 150 个新增验收；基于缺陷数据调整模板、rubric 和专家培训。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Scale I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W9-W14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530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每周验收 55 个；覆盖所有 55 个子领域；开始冻结私有测试集。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Scale II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W15-W20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860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继续每周验收 55 个；补齐长尾配额，完成对抗测试和候选淘汰。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Close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W21-W22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1,000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完成最后 140 个验收；冻结 760 私有、100 储备、40 变体的版本与权限。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Audit &amp; Handoff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W23-W24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1,000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独立抽样复跑、缺陷清零、文档/环境/评分器交接和客户验收。</w:t>
            </w:r>
          </w:p>
        </w:tc>
      </w:tr>
    </w:tbl>
    <w:p>
      <w:pPr>
        <w:spacing w:before="4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F6000"/>
          <w:left w:val="single" w:sz="8" w:space="0" w:color="7F6000"/>
          <w:bottom w:val="single" w:sz="8" w:space="0" w:color="7F6000"/>
          <w:right w:val="single" w:sz="8" w:space="0" w:color="7F6000"/>
          <w:insideH w:val="single" w:sz="8" w:space="0" w:color="7F6000"/>
          <w:insideV w:val="single" w:sz="8" w:space="0" w:color="7F60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F6000"/>
                <w:sz w:val="22"/>
              </w:rPr>
              <w:t xml:space="preserve">可修改项 03 / SCHEDULE BASELINE  </w:t>
            </w:r>
            <w:r>
              <w:rPr>
                <w:rFonts w:ascii="Calibri" w:hAnsi="Calibri" w:eastAsia="Microsoft YaHei"/>
                <w:color w:val="000000"/>
                <w:sz w:val="22"/>
              </w:rPr>
              <w:t>24 周是本方案的承诺基线。若客户要求更短周期，必须增加并行专家与工程产能，或减少 960 个独立 workflows 的覆盖要求；不能通过压缩 G3-G6 的质量门槛换取进度。</w:t>
            </w:r>
          </w:p>
        </w:tc>
      </w:tr>
    </w:tbl>
    <w:p>
      <w:pPr>
        <w:spacing w:after="0" w:before="40"/>
      </w:pPr>
    </w:p>
    <w:p>
      <w:pPr>
        <w:pStyle w:val="Heading1"/>
        <w:keepNext/>
      </w:pPr>
      <w:r>
        <w:t>7. Team and throughput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50"/>
        <w:gridCol w:w="2250"/>
        <w:gridCol w:w="4760"/>
      </w:tblGrid>
      <w:tr>
        <w:trPr>
          <w:tblHeader w:val="true"/>
          <w:cantSplit w:val="true"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2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基线配置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职责 / 产能依据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Program &amp; benchmark design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 Program Lead + 1 Benchmark Architect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范围、覆盖、客户决策、版本和验收口径。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Domain governance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13 Domain Leads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每个行业集群 1 名负责人；管理专家资历、工作流去重和专业质量。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Expert authors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42 名并行作者 + reserve pool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稳定期每人每周提交约 1.5 个候选实例，支持约 62-65 个候选/周。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Task engineering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 Task Engineers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环境、软件、输入包、reference 与自动化启动。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Evaluation engineering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 Evaluation Engineers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evaluate()、rubric、测试集、评分器校准和 reward-hacking 检查。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Independent QA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 QA Reviewers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dry-run、对抗测试、缺陷分级、返工验收和批次抽样。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Infrastructure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 Engineers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Windows/Linux 镜像、运行编排、日志、权限、成本和可复现性。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Legal / privacy / security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 shared reviewers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数据许可、PII、客户政策、私有集访问与泄漏响应。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Acceptance committee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 人跨职能委员会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G6 最终签字；与任务作者分离。</w:t>
            </w:r>
          </w:p>
        </w:tc>
      </w:tr>
    </w:tbl>
    <w:p>
      <w:pPr>
        <w:spacing w:before="4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F6000"/>
          <w:left w:val="single" w:sz="8" w:space="0" w:color="7F6000"/>
          <w:bottom w:val="single" w:sz="8" w:space="0" w:color="7F6000"/>
          <w:right w:val="single" w:sz="8" w:space="0" w:color="7F6000"/>
          <w:insideH w:val="single" w:sz="8" w:space="0" w:color="7F6000"/>
          <w:insideV w:val="single" w:sz="8" w:space="0" w:color="7F60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F6000"/>
                <w:sz w:val="22"/>
              </w:rPr>
              <w:t xml:space="preserve">可修改项 04 / STAFFING BASELINE  </w:t>
            </w:r>
            <w:r>
              <w:rPr>
                <w:rFonts w:ascii="Calibri" w:hAnsi="Calibri" w:eastAsia="Microsoft YaHei"/>
                <w:color w:val="000000"/>
                <w:sz w:val="22"/>
              </w:rPr>
              <w:t>人员配置由每周 62-65 个候选、约 80% 最终通过率和 50-55 个验收量反推。若专家提交率或一次通过率低于基线，先启用 reserve pool 和返工专班，再调整最终日期。</w:t>
            </w:r>
          </w:p>
        </w:tc>
      </w:tr>
    </w:tbl>
    <w:p>
      <w:pPr>
        <w:spacing w:after="0" w:before="40"/>
      </w:pPr>
    </w:p>
    <w:p>
      <w:pPr>
        <w:pStyle w:val="Heading1"/>
        <w:keepNext/>
      </w:pPr>
      <w:r>
        <w:t>8. Operating dashboard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600"/>
        <w:gridCol w:w="3300"/>
        <w:gridCol w:w="34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红线 / 目标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管理动作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Accepted instances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W4=50; W8=200; W14=530; W20=860; W22=1,000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每周按 workflow 与 instance 双口径报数。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Distinct workflow coverage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≥960，且 55 个子领域均达最低配额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重复或仅换输入的条目降级为 variant，不计新 workflow。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最终通过率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≥80%（1,250 candidates → 1,000 accepted）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连续两周低于 75% 时暂停扩量，定位缺陷来源。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干净环境启动成功率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3/3 dry-runs；批量运行 ≥99%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失败任务退出私有池并回到 G2。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Prompt-verifier coverage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100% 要求被覆盖；0 项无依据评分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任何未覆盖项阻断 G3。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严重 false accept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发现即冻结相关评分器与同模板任务，启动横向审计。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私有集泄漏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撤下、换入 reserve、追踪访问日志并更新版本。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主观评审一致率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三人评审 2/3 一致率 ≥80%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低于阈值时重写 rubric、复训评审并重新校准。</w:t>
            </w:r>
          </w:p>
        </w:tc>
      </w:tr>
    </w:tbl>
    <w:p>
      <w:pPr>
        <w:spacing w:before="40" w:after="0"/>
      </w:pPr>
    </w:p>
    <w:p>
      <w:r>
        <w:br w:type="page"/>
      </w:r>
    </w:p>
    <w:p>
      <w:pPr>
        <w:pStyle w:val="Heading1"/>
        <w:keepNext/>
      </w:pPr>
      <w:r>
        <w:t>9. Governance and handoff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公共/开发集、私有最终集、滚动储备和变体池分别存储，使用独立访问组；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每次运行固定 agent harness、模型版本、系统提示、工具、环境、预算、重试策略和评分器版本；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私有题目只通过评测服务下发，任务源码、隐藏 reference 与评分器不进入模型运行环境；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所有任务和输入包使用内容哈希、版本标签与不可变发布清单；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每月扫描泄漏线索、软件失效、许可变化和评分器异常；触发条件满足即从 reserve 替换；</w:t>
      </w:r>
    </w:p>
    <w:p>
      <w:pPr>
        <w:pStyle w:val="ListBullet"/>
        <w:keepLines/>
      </w:pPr>
      <w:r>
        <w:rPr>
          <w:rFonts w:ascii="Calibri" w:hAnsi="Calibri" w:eastAsia="Microsoft YaHei"/>
          <w:color w:val="000000"/>
          <w:sz w:val="22"/>
        </w:rPr>
        <w:t>客户交接包含覆盖矩阵、任务包、环境镜像、评分器、QC 证据、访问清单、运行手册和变更日志。</w:t>
      </w:r>
    </w:p>
    <w:p>
      <w:pPr>
        <w:pStyle w:val="Heading1"/>
        <w:keepNext/>
      </w:pPr>
      <w:r>
        <w:t>10. What the client receives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400"/>
        <w:gridCol w:w="3900"/>
        <w:gridCol w:w="30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交付物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内容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验收证据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1,000 accepted task packages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960 个独立 workflows + 40 个变体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G6 签字、版本清单、内容哈希。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Coverage map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13 clusters / 55 subdomains / 960 workflow quotas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配额公式、客户权重、缺口与完成状态。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Executable environments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Windows/Linux 镜像、软件与权限 manifest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 次干净启动记录、批量运行成功率。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Calibrated evaluators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确定性评分器、rubric、盲评协议与测试集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正/负/边界例、false-accept 审计。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Audit trail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来源、专家、dry-run、缺陷、返工与审批记录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可追溯到 workflow_id / instance_id。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Private-set governance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访问、版本、泄漏、轮换与退役制度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权限清单、轮换储备、响应演练。</w:t>
            </w:r>
          </w:p>
        </w:tc>
      </w:tr>
    </w:tbl>
    <w:p>
      <w:pPr>
        <w:spacing w:before="4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FINAL POSITION  </w:t>
            </w:r>
            <w:r>
              <w:rPr>
                <w:rFonts w:ascii="Calibri" w:hAnsi="Calibri" w:eastAsia="Microsoft YaHei"/>
                <w:color w:val="000000"/>
                <w:sz w:val="22"/>
              </w:rPr>
              <w:t>客户购买的不是一千个 prompt，而是一个包含 1,000 个已验收实例、960 个专业工作流、可运行环境、校准评分器、质量证据和私有集治理的完整测量系统。</w:t>
            </w:r>
          </w:p>
        </w:tc>
      </w:tr>
    </w:tbl>
    <w:p>
      <w:pPr>
        <w:spacing w:after="0" w:before="40"/>
      </w:pPr>
    </w:p>
    <w:p>
      <w:pPr>
        <w:pStyle w:val="Heading1"/>
        <w:keepNext/>
      </w:pPr>
      <w:r>
        <w:t>Review markers / 可直接提出修改的位置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0"/>
        <w:gridCol w:w="3900"/>
        <w:gridCol w:w="37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标记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当前锁定值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可修改内容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可修改项 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1,000 instances = 960 workflows + 40 variants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工作流与变体的数量关系、最终计数单位。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可修改项 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55 子领域最低 10 个 + 410 加权分配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客户权重、禁用领域、软件与数据边界。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可修改项 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24 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里程碑、并行批次和客户验收窗口。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可修改项 04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42 位活跃专家作者及配套工程/QA 团队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人员规模、内外部比例与并行度。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可修改项 05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验收 KPI 与主观评审阈值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通过率、抽样率、一致率与 fail-closed 条件。</w:t>
            </w:r>
          </w:p>
        </w:tc>
      </w:tr>
    </w:tbl>
    <w:p>
      <w:pPr>
        <w:spacing w:before="40" w:after="0"/>
      </w:pPr>
    </w:p>
    <w:p>
      <w:pPr>
        <w:pStyle w:val="Heading1"/>
        <w:keepNext/>
      </w:pPr>
      <w:r>
        <w:t>Sources and evidence boundary</w:t>
      </w:r>
    </w:p>
    <w:p>
      <w:pPr>
        <w:keepNext w:val="0"/>
      </w:pPr>
      <w:r>
        <w:rPr>
          <w:rFonts w:ascii="Calibri" w:hAnsi="Calibri" w:eastAsia="Microsoft YaHei"/>
          <w:i w:val="0"/>
          <w:color w:val="000000"/>
          <w:sz w:val="22"/>
        </w:rPr>
        <w:t xml:space="preserve">1. Agents' Last Exam, arXiv:2606.05405v2: </w:t>
      </w:r>
      <w:hyperlink r:id="rId11">
        <w:r>
          <w:rPr>
            <w:rFonts w:ascii="Calibri" w:hAnsi="Calibri"/>
            <w:color w:val="2E74B5"/>
            <w:u w:val="single"/>
          </w:rPr>
          <w:t>Version-pinned paper</w:t>
        </w:r>
      </w:hyperlink>
    </w:p>
    <w:p>
      <w:pPr>
        <w:keepNext w:val="0"/>
      </w:pPr>
      <w:r>
        <w:rPr>
          <w:rFonts w:ascii="Calibri" w:hAnsi="Calibri" w:eastAsia="Microsoft YaHei"/>
          <w:i w:val="0"/>
          <w:color w:val="000000"/>
          <w:sz w:val="22"/>
        </w:rPr>
        <w:t xml:space="preserve">2. Official ALE repository: </w:t>
      </w:r>
      <w:hyperlink r:id="rId12">
        <w:r>
          <w:rPr>
            <w:rFonts w:ascii="Calibri" w:hAnsi="Calibri"/>
            <w:color w:val="2E74B5"/>
            <w:u w:val="single"/>
          </w:rPr>
          <w:t>Official GitHub implementation</w:t>
        </w:r>
      </w:hyperlink>
    </w:p>
    <w:p>
      <w:pPr>
        <w:keepNext w:val="0"/>
      </w:pPr>
      <w:r>
        <w:rPr>
          <w:rFonts w:ascii="Calibri" w:hAnsi="Calibri" w:eastAsia="Microsoft YaHei"/>
          <w:i w:val="0"/>
          <w:color w:val="000000"/>
          <w:sz w:val="22"/>
        </w:rPr>
        <w:t xml:space="preserve">3. Nick Heiner, Surge AI, When Will The Benchmaxxing Plague End?: </w:t>
      </w:r>
      <w:hyperlink r:id="rId13">
        <w:r>
          <w:rPr>
            <w:rFonts w:ascii="Calibri" w:hAnsi="Calibri"/>
            <w:color w:val="2E74B5"/>
            <w:u w:val="single"/>
          </w:rPr>
          <w:t>Conference talk video</w:t>
        </w:r>
      </w:hyperlink>
    </w:p>
    <w:p>
      <w:pPr>
        <w:keepNext w:val="0"/>
      </w:pPr>
      <w:r>
        <w:rPr>
          <w:rFonts w:ascii="Calibri" w:hAnsi="Calibri" w:eastAsia="Microsoft YaHei"/>
          <w:i w:val="0"/>
          <w:color w:val="000000"/>
          <w:sz w:val="22"/>
        </w:rPr>
        <w:t xml:space="preserve">4. Surge AI, Hemingway-bench methodology: </w:t>
      </w:r>
      <w:hyperlink r:id="rId14">
        <w:r>
          <w:rPr>
            <w:rFonts w:ascii="Calibri" w:hAnsi="Calibri"/>
            <w:color w:val="2E74B5"/>
            <w:u w:val="single"/>
          </w:rPr>
          <w:t>Writing benchmark methodology</w:t>
        </w:r>
      </w:hyperlink>
    </w:p>
    <w:p>
      <w:pPr>
        <w:keepNext w:val="0"/>
      </w:pPr>
      <w:r>
        <w:rPr>
          <w:rFonts w:ascii="Calibri" w:hAnsi="Calibri" w:eastAsia="Microsoft YaHei"/>
          <w:i/>
          <w:color w:val="000000"/>
          <w:sz w:val="22"/>
        </w:rPr>
        <w:t>Evidence boundary: ALE v2 reports 960 workflows and 1,490 instances, including 150 public, 1,017 private and 323 pending QC. The 1,000-task delivery allocation, 24-week schedule, staffing plan, pool split and acceptance thresholds in this memo are proposed project decisions created for the client scenario; they are not claims made by the ALE authors.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Page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of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6666"/>
        <w:sz w:val="17"/>
      </w:rPr>
      <w:t>ALE-STYLE BENCHMARK DELIVERY PLAN  |  EDITABLE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 w:eastAsia="Microsoft YaHei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html/2606.05405v2" TargetMode="External"/><Relationship Id="rId12" Type="http://schemas.openxmlformats.org/officeDocument/2006/relationships/hyperlink" Target="https://github.com/rdi-berkeley/agents-last-exam" TargetMode="External"/><Relationship Id="rId13" Type="http://schemas.openxmlformats.org/officeDocument/2006/relationships/hyperlink" Target="https://www.youtube.com/watch?v=-npY6XjM8CQ" TargetMode="External"/><Relationship Id="rId14" Type="http://schemas.openxmlformats.org/officeDocument/2006/relationships/hyperlink" Target="https://surgehq.ai/blog/hemingway-bench-ai-writing-leader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1,000 ALE-style Tasks Delivery Plan</dc:title>
  <dc:subject>Editable execution plan for a client-commissioned ALE-style benchmark</dc:subject>
  <dc:creator>Interview working draft</dc:creator>
  <cp:keywords/>
  <dc:description>Version 0.2 - explicit project baselines are marked for 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