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</w:pPr>
      <w:r>
        <w:rPr>
          <w:rFonts w:ascii="Calibri" w:hAnsi="Calibri" w:eastAsia="Microsoft YaHei"/>
          <w:b/>
          <w:color w:val="2E74B5"/>
          <w:sz w:val="22"/>
        </w:rPr>
        <w:t>RESEARCH &amp; OPERATING DESIGN MEMO</w:t>
      </w:r>
    </w:p>
    <w:p>
      <w:pPr>
        <w:spacing w:after="160"/>
      </w:pPr>
      <w:r>
        <w:rPr>
          <w:rFonts w:ascii="Calibri" w:hAnsi="Calibri" w:eastAsia="Microsoft YaHei"/>
          <w:b/>
          <w:color w:val="000000"/>
          <w:sz w:val="50"/>
        </w:rPr>
        <w:t>1,000 个 ALE-style Runnable Instances</w:t>
      </w:r>
    </w:p>
    <w:p>
      <w:pPr>
        <w:spacing w:after="400"/>
      </w:pPr>
      <w:r>
        <w:rPr>
          <w:rFonts w:ascii="Calibri" w:hAnsi="Calibri" w:eastAsia="Microsoft YaHei"/>
          <w:color w:val="1F4D78"/>
          <w:sz w:val="36"/>
        </w:rPr>
        <w:t>专家生产、校准与治理体系</w:t>
      </w:r>
    </w:p>
    <w:p>
      <w:pPr>
        <w:spacing w:after="60"/>
      </w:pPr>
      <w:r>
        <w:rPr>
          <w:rFonts w:ascii="Calibri" w:hAnsi="Calibri" w:eastAsia="Microsoft YaHei"/>
          <w:b/>
          <w:color w:val="17365D"/>
          <w:sz w:val="20"/>
        </w:rPr>
        <w:t>用途：</w:t>
      </w:r>
      <w:r>
        <w:rPr>
          <w:rFonts w:ascii="Calibri" w:hAnsi="Calibri" w:eastAsia="Microsoft YaHei"/>
          <w:color w:val="000000"/>
          <w:sz w:val="20"/>
        </w:rPr>
        <w:t>UniPat 面试作业与 client-facing production design</w:t>
      </w:r>
    </w:p>
    <w:p>
      <w:pPr>
        <w:spacing w:after="60"/>
      </w:pPr>
      <w:r>
        <w:rPr>
          <w:rFonts w:ascii="Calibri" w:hAnsi="Calibri" w:eastAsia="Microsoft YaHei"/>
          <w:b/>
          <w:color w:val="17365D"/>
          <w:sz w:val="20"/>
        </w:rPr>
        <w:t>研究快照：</w:t>
      </w:r>
      <w:r>
        <w:rPr>
          <w:rFonts w:ascii="Calibri" w:hAnsi="Calibri" w:eastAsia="Microsoft YaHei"/>
          <w:color w:val="000000"/>
          <w:sz w:val="20"/>
        </w:rPr>
        <w:t>2026-08-09</w:t>
      </w:r>
    </w:p>
    <w:p>
      <w:pPr>
        <w:spacing w:after="60"/>
      </w:pPr>
      <w:r>
        <w:rPr>
          <w:rFonts w:ascii="Calibri" w:hAnsi="Calibri" w:eastAsia="Microsoft YaHei"/>
          <w:b/>
          <w:color w:val="17365D"/>
          <w:sz w:val="20"/>
        </w:rPr>
        <w:t>目标单位：</w:t>
      </w:r>
      <w:r>
        <w:rPr>
          <w:rFonts w:ascii="Calibri" w:hAnsi="Calibri" w:eastAsia="Microsoft YaHei"/>
          <w:color w:val="000000"/>
          <w:sz w:val="20"/>
        </w:rPr>
        <w:t>1,000 个通过最终 QC、可独立运行与评分的 runnable benchmark instances</w:t>
      </w:r>
    </w:p>
    <w:p>
      <w:pPr>
        <w:spacing w:after="60"/>
      </w:pPr>
      <w:r>
        <w:rPr>
          <w:rFonts w:ascii="Calibri" w:hAnsi="Calibri" w:eastAsia="Microsoft YaHei"/>
          <w:b/>
          <w:color w:val="17365D"/>
          <w:sz w:val="20"/>
        </w:rPr>
        <w:t>ALE 论文：</w:t>
      </w:r>
      <w:r>
        <w:rPr>
          <w:rFonts w:ascii="Calibri" w:hAnsi="Calibri" w:eastAsia="Microsoft YaHei"/>
          <w:color w:val="000000"/>
          <w:sz w:val="20"/>
        </w:rPr>
        <w:t>arXiv:2606.05405v2</w:t>
      </w:r>
    </w:p>
    <w:p>
      <w:pPr>
        <w:spacing w:after="60"/>
      </w:pPr>
      <w:r>
        <w:rPr>
          <w:rFonts w:ascii="Calibri" w:hAnsi="Calibri" w:eastAsia="Microsoft YaHei"/>
          <w:b/>
          <w:color w:val="17365D"/>
          <w:sz w:val="20"/>
        </w:rPr>
        <w:t>GitHub：</w:t>
      </w:r>
      <w:r>
        <w:rPr>
          <w:rFonts w:ascii="Calibri" w:hAnsi="Calibri" w:eastAsia="Microsoft YaHei"/>
          <w:color w:val="000000"/>
          <w:sz w:val="20"/>
        </w:rPr>
        <w:t>1e615e456de7cef57706680613cb80ee13c7fc76</w:t>
      </w:r>
    </w:p>
    <w:p>
      <w:pPr>
        <w:spacing w:after="60"/>
      </w:pPr>
      <w:r>
        <w:rPr>
          <w:rFonts w:ascii="Calibri" w:hAnsi="Calibri" w:eastAsia="Microsoft YaHei"/>
          <w:b/>
          <w:color w:val="17365D"/>
          <w:sz w:val="20"/>
        </w:rPr>
        <w:t>Hugging Face：</w:t>
      </w:r>
      <w:r>
        <w:rPr>
          <w:rFonts w:ascii="Calibri" w:hAnsi="Calibri" w:eastAsia="Microsoft YaHei"/>
          <w:color w:val="000000"/>
          <w:sz w:val="20"/>
        </w:rPr>
        <w:t>a8c1fd174a1f6cfa76526572a2e3ebece1276be2</w:t>
      </w:r>
    </w:p>
    <w:p>
      <w:pPr>
        <w:spacing w:before="160" w:after="240"/>
        <w:pBdr>
          <w:bottom w:val="single" w:sz="12" w:space="3" w:color="2E74B5"/>
        </w:pBdr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</w:tblPr>
      <w:tblGrid>
        <w:gridCol w:w="9360"/>
      </w:tblGrid>
      <w:tr>
        <w:trPr>
          <w:cantSplit w:val="true"/>
        </w:trPr>
        <w:tc>
          <w:tcPr>
            <w:tcW w:type="dxa" w:w="93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  <w:shd w:fill="E8EEF5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17365D"/>
                <w:sz w:val="21"/>
              </w:rPr>
              <w:t>证据边界</w:t>
            </w:r>
          </w:p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不从公开 benchmark 数量推导人员、工时、成本、周期、throughput、yield、通过率、阈值、配额或 public/private 比例；证据不足处保留变量、公式与 pilot measurement plan。</w:t>
            </w:r>
          </w:p>
        </w:tc>
      </w:tr>
    </w:tbl>
    <w:p>
      <w:pPr>
        <w:spacing w:before="240" w:after="100"/>
      </w:pPr>
      <w:r>
        <w:rPr>
          <w:rFonts w:ascii="Calibri" w:hAnsi="Calibri" w:eastAsia="Microsoft YaHei"/>
          <w:b/>
          <w:color w:val="17365D"/>
          <w:sz w:val="22"/>
        </w:rPr>
        <w:t>交付导航</w:t>
      </w:r>
    </w:p>
    <w:p>
      <w:pPr>
        <w:pStyle w:val="ListBullet"/>
        <w:spacing w:after="40"/>
      </w:pPr>
      <w:r>
        <w:rPr>
          <w:rFonts w:ascii="Calibri" w:hAnsi="Calibri" w:eastAsia="Microsoft YaHei"/>
          <w:b w:val="0"/>
          <w:color w:val="000000"/>
          <w:sz w:val="20"/>
        </w:rPr>
        <w:t>Operating model 与 stage gates</w:t>
      </w:r>
    </w:p>
    <w:p>
      <w:pPr>
        <w:pStyle w:val="ListBullet"/>
        <w:spacing w:after="40"/>
      </w:pPr>
      <w:r>
        <w:rPr>
          <w:rFonts w:ascii="Calibri" w:hAnsi="Calibri" w:eastAsia="Microsoft YaHei"/>
          <w:b w:val="0"/>
          <w:color w:val="000000"/>
          <w:sz w:val="20"/>
        </w:rPr>
        <w:t>专家画像、qualification 与 sourcing matrices</w:t>
      </w:r>
    </w:p>
    <w:p>
      <w:pPr>
        <w:pStyle w:val="ListBullet"/>
        <w:spacing w:after="40"/>
      </w:pPr>
      <w:r>
        <w:rPr>
          <w:rFonts w:ascii="Calibri" w:hAnsi="Calibri" w:eastAsia="Microsoft YaHei"/>
          <w:b w:val="0"/>
          <w:color w:val="000000"/>
          <w:sz w:val="20"/>
        </w:rPr>
        <w:t>Golden/guideline/batch-zero 最小交付包</w:t>
      </w:r>
    </w:p>
    <w:p>
      <w:pPr>
        <w:pStyle w:val="ListBullet"/>
        <w:spacing w:after="40"/>
      </w:pPr>
      <w:r>
        <w:rPr>
          <w:rFonts w:ascii="Calibri" w:hAnsi="Calibri" w:eastAsia="Microsoft YaHei"/>
          <w:b w:val="0"/>
          <w:color w:val="000000"/>
          <w:sz w:val="20"/>
        </w:rPr>
        <w:t>Reviewer 晋升、校准、deboarding 与 escalation</w:t>
      </w:r>
    </w:p>
    <w:p>
      <w:pPr>
        <w:pStyle w:val="ListBullet"/>
        <w:spacing w:after="40"/>
      </w:pPr>
      <w:r>
        <w:rPr>
          <w:rFonts w:ascii="Calibri" w:hAnsi="Calibri" w:eastAsia="Microsoft YaHei"/>
          <w:b w:val="0"/>
          <w:color w:val="000000"/>
          <w:sz w:val="20"/>
        </w:rPr>
        <w:t>11 角色完整 RACI 与同资产硬不兼容规则</w:t>
      </w:r>
    </w:p>
    <w:p>
      <w:pPr>
        <w:pStyle w:val="ListBullet"/>
        <w:spacing w:after="40"/>
      </w:pPr>
      <w:r>
        <w:rPr>
          <w:rFonts w:ascii="Calibri" w:hAnsi="Calibri" w:eastAsia="Microsoft YaHei"/>
          <w:b w:val="0"/>
          <w:color w:val="000000"/>
          <w:sz w:val="20"/>
        </w:rPr>
        <w:t>Confidentiality、rights、PII、COI 与 reference custody</w:t>
      </w:r>
    </w:p>
    <w:p>
      <w:pPr>
        <w:pStyle w:val="ListBullet"/>
        <w:spacing w:after="40"/>
      </w:pPr>
      <w:r>
        <w:rPr>
          <w:rFonts w:ascii="Calibri" w:hAnsi="Calibri" w:eastAsia="Microsoft YaHei"/>
          <w:b w:val="0"/>
          <w:color w:val="000000"/>
          <w:sz w:val="20"/>
        </w:rPr>
        <w:t>Micro1 假设逐项裁决</w:t>
      </w:r>
    </w:p>
    <w:p>
      <w:pPr>
        <w:pStyle w:val="ListBullet"/>
        <w:spacing w:after="40"/>
      </w:pPr>
      <w:r>
        <w:rPr>
          <w:rFonts w:ascii="Calibri" w:hAnsi="Calibri" w:eastAsia="Microsoft YaHei"/>
          <w:b w:val="0"/>
          <w:color w:val="000000"/>
          <w:sz w:val="20"/>
        </w:rPr>
        <w:t>Pilot 必须测量的人员、质量、产能与风险变量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阅读约定</w:t>
      </w:r>
    </w:p>
    <w:p>
      <w:pPr>
        <w:pStyle w:val="ListBullet"/>
      </w:pPr>
      <w:r>
        <w:rPr>
          <w:rFonts w:ascii="Calibri" w:hAnsi="Calibri" w:eastAsia="Microsoft YaHei"/>
          <w:b/>
          <w:color w:val="000000"/>
          <w:sz w:val="22"/>
        </w:rPr>
        <w:t>[F] 来源事实：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论文、固定代码/数据、政府或标准机构文本、同行评议方法研究直接支持。</w:t>
      </w:r>
    </w:p>
    <w:p>
      <w:pPr>
        <w:pStyle w:val="ListBullet"/>
      </w:pPr>
      <w:r>
        <w:rPr>
          <w:rFonts w:ascii="Calibri" w:hAnsi="Calibri" w:eastAsia="Microsoft YaHei"/>
          <w:b/>
          <w:color w:val="000000"/>
          <w:sz w:val="22"/>
        </w:rPr>
        <w:t>[C] 作者/机构主张：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来源对自身方法或规范的解释；不自动视为独立验证。</w:t>
      </w:r>
    </w:p>
    <w:p>
      <w:pPr>
        <w:pStyle w:val="ListBullet"/>
      </w:pPr>
      <w:r>
        <w:rPr>
          <w:rFonts w:ascii="Calibri" w:hAnsi="Calibri" w:eastAsia="Microsoft YaHei"/>
          <w:b/>
          <w:color w:val="000000"/>
          <w:sz w:val="22"/>
        </w:rPr>
        <w:t>[I] 研究者推断：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多来源组合后对 ALE-style 生产的推断。</w:t>
      </w:r>
    </w:p>
    <w:p>
      <w:pPr>
        <w:pStyle w:val="ListBullet"/>
      </w:pPr>
      <w:r>
        <w:rPr>
          <w:rFonts w:ascii="Calibri" w:hAnsi="Calibri" w:eastAsia="Microsoft YaHei"/>
          <w:b/>
          <w:color w:val="000000"/>
          <w:sz w:val="22"/>
        </w:rPr>
        <w:t>[R] 项目建议：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本项目可直接采用的流程、控制与模板。</w:t>
      </w:r>
    </w:p>
    <w:p>
      <w:pPr>
        <w:pStyle w:val="ListBullet"/>
      </w:pPr>
      <w:r>
        <w:rPr>
          <w:rFonts w:ascii="Calibri" w:hAnsi="Calibri" w:eastAsia="Microsoft YaHei"/>
          <w:b/>
          <w:color w:val="000000"/>
          <w:sz w:val="22"/>
        </w:rPr>
        <w:t>[P] 客户/Pilot 待定：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必须由 intended use、客户事实、风险容忍度或 pilot 数据决定。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>本报告不把公开 benchmark 的任务数、专家数、submission 数、run 数、缺陷审计样本或 release split 转化为人员、工时、成本、周期、throughput、acceptance yield、通过率、阈值、领域配额或 public/private 比例。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1. 核心结论</w:t>
      </w:r>
    </w:p>
    <w:p>
      <w:pPr>
        <w:numPr>
          <w:ilvl w:val="0"/>
          <w:numId w:val="10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专家体系必须按角色资格构建，而不是按“专家等级”构建。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[F] 人员选拔与 expert-elicitation 来源分别测量 domain knowledge、实际应用、访谈、工作样本、独立性与 facilitator 能力。[S10-S19, S1a] [I] 这些来源没有原生定义 ALE 角色；本项目把 domain expert、practitioner author、group lead、independent solver 与 domain reviewer 分别资格化。</w:t>
      </w:r>
    </w:p>
    <w:p>
      <w:pPr>
        <w:numPr>
          <w:ilvl w:val="0"/>
          <w:numId w:val="10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简历、学历、证书、作品和 references 主要是身份、scope 与历史 claim 证据；不能单独证明当前项目能力。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[F] 结构化面试与岗位相似 work sample 能更直接观察相关表现；元分析也提示经典效度估计可能偏高。[S10-S18] [I] 其增量价值与公平性须在本项目验证。[R] 采用“身份/claim 核验 + 结构化面试 + blind work sample + role-specific Golden task”的证据链，任何单项都不能单独录用或晋升。</w:t>
      </w:r>
    </w:p>
    <w:p>
      <w:pPr>
        <w:numPr>
          <w:ilvl w:val="0"/>
          <w:numId w:val="10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Golden case 必须是 executable evidence pack，不是唯一标准答案。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[F] ALE 固定论文/代码把 task 描述、inputs、software/environment、reference、evaluation 与 </w:t>
      </w:r>
      <w:r>
        <w:rPr>
          <w:rFonts w:ascii="Consolas" w:hAnsi="Consolas" w:eastAsia="Microsoft YaHei"/>
          <w:color w:val="1F4D78"/>
          <w:sz w:val="21"/>
        </w:rPr>
        <w:t>load/start/evaluate</w:t>
      </w:r>
      <w:r>
        <w:rPr>
          <w:rFonts w:ascii="Calibri" w:hAnsi="Calibri" w:eastAsia="Microsoft YaHei"/>
          <w:b w:val="0"/>
          <w:color w:val="000000"/>
          <w:sz w:val="22"/>
        </w:rPr>
        <w:t xml:space="preserve"> 生命周期连接起来；OSWorld/EvalPlus 的实验显示 alternate-correct 与测试覆盖不足风险。[S01-S03, S22-S23] [C] SWE-bench 维护者再审计报告了正确答案被拒、环境与污染问题。[S09/S24，同一底层来源] [I/R] 本项目因此把 Golden 定义为可反驳、可回归的 runnable contract。</w:t>
      </w:r>
    </w:p>
    <w:p>
      <w:pPr>
        <w:numPr>
          <w:ilvl w:val="0"/>
          <w:numId w:val="10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Batch zero 是故障隔离实验，不是小规模量产。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[R] 使用 blind solve、component swap、clean reset、保存 artifact/trace 与独立 adjudication，把问题标为 guideline、expert、case、environment、reference、evaluator；允许 primary cause + contributing causes。Agreement 只是一项症状指标，不是 root cause 或 validity。[S24, S28-S29]</w:t>
      </w:r>
    </w:p>
    <w:p>
      <w:pPr>
        <w:numPr>
          <w:ilvl w:val="0"/>
          <w:numId w:val="10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Reviewer 是 assurance authority，不是 author 的荣誉等级。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[F] NIST、NASA 与 UK AQuA Book 文本分别规定/建议 independent assessment、verification/validation 区分和 analyst/assurer 分离。[S25-S27] [I] 这些是规范与机制类比，并未证明本项目采用后必然提高质量。[R] 晋升必须在未见 cases 上证明 rubric 使用、合理多解判断、错误归因、理由质量、COI/保密与 escalation；不得最终裁决自己 authored/engineered 的 asset。</w:t>
      </w:r>
    </w:p>
    <w:p>
      <w:pPr>
        <w:numPr>
          <w:ilvl w:val="0"/>
          <w:numId w:val="10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职责分离必须落实到每个 instance/change/release，而不是只画组织图。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[F] NIST 与 GAO 文本包含 separation of duties、least privilege 和无法分离时的 alternative-control 要求/建议。[S30-S32] [I] 对 ALE-style 资产的风险降低效果尚需 pilot 测量。[R] 同一人不得闭环控制同一 asset 的 authoring、blind solve、sole review、reference/evaluator custody 与 final approval。</w:t>
      </w:r>
    </w:p>
    <w:p>
      <w:pPr>
        <w:numPr>
          <w:ilvl w:val="0"/>
          <w:numId w:val="10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NDA 不是安全、权利或 COI 的替代品。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[F] WIPO、GDPR、美国版权法、FTC、NIH 与 NIST 文本分别涉及 need-to-know、purpose limitation、data minimisation、chain of title、assignment-specific recusal、return/delete 与 deboarding。[S30-S39] [I/R] NDA 只覆盖其中部分风险；本项目把这些控制作为并列 gate。[P] 法域、worker status、合同和客户 data flow 决定具体义务。</w:t>
      </w:r>
    </w:p>
    <w:p>
      <w:pPr>
        <w:numPr>
          <w:ilvl w:val="0"/>
          <w:numId w:val="10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Micro1 五步法应“修改后全部保留”，并新增 owner mandate、盲化/权限分区、change control、持续抽审和 incident/retirement。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[I] 其顺序逻辑与公开证据相容；公开来源不验证其 staffing、产能、阈值或晋升标准。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1.1 三类来源交叉验证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>[F] 证据卡按用途拆分，不等于独立来源：</w:t>
      </w:r>
      <w:r>
        <w:rPr>
          <w:rFonts w:ascii="Consolas" w:hAnsi="Consolas" w:eastAsia="Microsoft YaHei"/>
          <w:color w:val="1F4D78"/>
          <w:sz w:val="21"/>
        </w:rPr>
        <w:t>S01/S20</w:t>
      </w:r>
      <w:r>
        <w:rPr>
          <w:rFonts w:ascii="Calibri" w:hAnsi="Calibri" w:eastAsia="Microsoft YaHei"/>
          <w:b w:val="0"/>
          <w:color w:val="000000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S02/S21</w:t>
      </w:r>
      <w:r>
        <w:rPr>
          <w:rFonts w:ascii="Calibri" w:hAnsi="Calibri" w:eastAsia="Microsoft YaHei"/>
          <w:b w:val="0"/>
          <w:color w:val="000000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S09/S24</w:t>
      </w:r>
      <w:r>
        <w:rPr>
          <w:rFonts w:ascii="Calibri" w:hAnsi="Calibri" w:eastAsia="Microsoft YaHei"/>
          <w:b w:val="0"/>
          <w:color w:val="000000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S25/S31</w:t>
      </w:r>
      <w:r>
        <w:rPr>
          <w:rFonts w:ascii="Calibri" w:hAnsi="Calibri" w:eastAsia="Microsoft YaHei"/>
          <w:b w:val="0"/>
          <w:color w:val="000000"/>
          <w:sz w:val="22"/>
        </w:rPr>
        <w:t xml:space="preserve"> 各自共享同一 canonical source cluster；ALE paper/code/HF 是同一项目的不同 evidence surfaces，不是三个独立机构。下表按 canonical cluster 去重，完整台账见 </w:t>
      </w:r>
      <w:r>
        <w:rPr>
          <w:rFonts w:ascii="Calibri" w:hAnsi="Calibri" w:eastAsia="Microsoft YaHei"/>
          <w:color w:val="2E74B5"/>
          <w:sz w:val="22"/>
          <w:u w:val="single"/>
        </w:rPr>
        <w:t>`sources.csv`</w:t>
      </w:r>
      <w:r>
        <w:rPr>
          <w:rFonts w:ascii="Calibri" w:hAnsi="Calibri" w:eastAsia="Microsoft YaHei"/>
          <w:b w:val="0"/>
          <w:color w:val="000000"/>
          <w:sz w:val="22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</w:tblPr>
      <w:tblGrid>
        <w:gridCol w:w="1500"/>
        <w:gridCol w:w="2600"/>
        <w:gridCol w:w="2500"/>
        <w:gridCol w:w="1760"/>
        <w:gridCol w:w="1000"/>
      </w:tblGrid>
      <w:tr>
        <w:trPr>
          <w:tblHeader w:val="true"/>
          <w:cantSplit w:val="true"/>
        </w:trPr>
        <w:tc>
          <w:tcPr>
            <w:tcW w:type="dxa" w:w="15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重要结论</w:t>
            </w:r>
          </w:p>
        </w:tc>
        <w:tc>
          <w:tcPr>
            <w:tcW w:type="dxa" w:w="26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论文/代码或同行评议</w:t>
            </w:r>
          </w:p>
        </w:tc>
        <w:tc>
          <w:tcPr>
            <w:tcW w:type="dxa" w:w="25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政府/标准/方法</w:t>
            </w:r>
          </w:p>
        </w:tc>
        <w:tc>
          <w:tcPr>
            <w:tcW w:type="dxa" w:w="176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独立运营/再审计证据</w:t>
            </w:r>
          </w:p>
        </w:tc>
        <w:tc>
          <w:tcPr>
            <w:tcW w:type="dxa" w:w="10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状态与边界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Golden 是 runnable contract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ALE frozen project surfaces [S01-S03/S20-S21，同项目]；OSWorld [S22]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NIST AI 800-2/RMF [S04, S25]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SWE-bench 再审计 [S09/S24，同源]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强支持 runnable schema；字段深度由客户与 pilot 决定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reference/evaluator 不是无误差真值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EvalPlus [S23]；verifier hardening [S09b]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NIST cheating/TEVV [S05, S25]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SWE-bench [S09/S24，同源]；Terminal-Bench incident [S09a]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强支持风险机制；不外推错误率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当前能力需角色相关直接证据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work-sample/selection 元分析 [S12-S14, S1f-S1g]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OPM/EEOC/ISO [S10-S18]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EPA/NASEM panel 方法 [S19, S1a]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支持；每个 gate 需 local validation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author 与 formal assurance 分离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benchmark audit [S09/S24，同源]；academic verifier study [S09b]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NIST/NASA/AQuA/GAO [S25-S27, S30-S32]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ISO/NIH operating analogues [S33, S38]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规范/机制与类比支持；本项目因果效果待 pilot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NDA 必须配合权限、权利与离场控制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provenance/benchmark risk [S02-S05]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NIST/GAO/ISO [S30-S32, S38]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WIPO/GDPR/USCO/FTC/NIH [S33-S39]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强支持；具体法律适用须 counsel/client facts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Batch zero 需要 controlled fault isolation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agreement 方法 [S28]；EvalPlus/OSWorld [S22-S23]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NIST measurement/TEVV、EPA calibration [S04-S06, S29]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ALE code 与 benchmark audit [S21, S09/S24]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需要诊断有交叉支持；六类 taxonomy 是 [I/R]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Micro1 修改后保留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ALE staged pipeline [S01-S03]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NIST/rights/governance controls [S04-S06, S30-S39]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academic/benchmark validity evidence [S07-S09b, S22-S24]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仅与外部证据相容；Micro1 本身未被公开来源直接验证</w:t>
            </w:r>
          </w:p>
        </w:tc>
      </w:tr>
    </w:tbl>
    <w:p>
      <w:pPr>
        <w:spacing w:after="0" w:before="40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2. 适用边界与决策原则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[F] ALE v2 的公开流程包含 expert sourcing、first-pass review、engineering dry-run 和 expert final QC，但没有公开可迁移的专家资格权重、batch-zero size、agreement threshold、reviewer promotion rule 或 production staffing。[S01, S20]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[I] 本报告设计的是高风险 benchmark production control system，不证明该组织必然具有更高 throughput、yield 或更低成本。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[F] 人员选拔研究的研究对象是一般 job performance，并非 benchmark author/reviewer。[I] Laboratory、peer-review 与 NASA/FDA controls 仅作为可审查类比，不构成本项目法定认证或因果验证。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[R] 法律与标准来源只转成流程 gate、记录要求和 counsel questions；不做跨法域法律结论，不声称 ISO/IEC 17025、NIST、NIH 或 FDA conformity。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[R] “更多角色”不是目标。目标是让 authority、custody、execution、review 与 approval 可区分、可重建、可撤销；小团队可组合条件兼容的角色，但必须保留 hard incompatibilities 或书面 compensating controls。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3. 专家生产 Operating Model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>[R] 下表是本项目 operating design；各 gate 的人员数、并行度、case/solver/repeat 构成、数值放行阈值与例外容忍度均为 [P]。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3.1 G0–G8 stage-gate families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</w:tblPr>
      <w:tblGrid>
        <w:gridCol w:w="1500"/>
        <w:gridCol w:w="2600"/>
        <w:gridCol w:w="2500"/>
        <w:gridCol w:w="1760"/>
        <w:gridCol w:w="1000"/>
      </w:tblGrid>
      <w:tr>
        <w:trPr>
          <w:tblHeader w:val="true"/>
          <w:cantSplit w:val="true"/>
        </w:trPr>
        <w:tc>
          <w:tcPr>
            <w:tcW w:type="dxa" w:w="15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Gate</w:t>
            </w:r>
          </w:p>
        </w:tc>
        <w:tc>
          <w:tcPr>
            <w:tcW w:type="dxa" w:w="26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主要工作</w:t>
            </w:r>
          </w:p>
        </w:tc>
        <w:tc>
          <w:tcPr>
            <w:tcW w:type="dxa" w:w="25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必交证据</w:t>
            </w:r>
          </w:p>
        </w:tc>
        <w:tc>
          <w:tcPr>
            <w:tcW w:type="dxa" w:w="176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放行条件</w:t>
            </w:r>
          </w:p>
        </w:tc>
        <w:tc>
          <w:tcPr>
            <w:tcW w:type="dxa" w:w="10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Accountable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G0 Owner mandate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Intended use、construct、claim boundary、目标 workflow map、risk appetite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scope memo、unit ledger、client inputs、法律/安全问题清单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1,000 的单位、能/不能证明的 claim 与客户决策明确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BO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G1 Rights/security envelope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数据分级、权限、NDA/IP/PII/COI、reference custodian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data/rights map、access matrix、COI categories、incident route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raw data/客户材料可以合法且最小化分发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G2 Lead calibration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已资格化 leads/engineers 建 scenario matrix 与 Golden package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guideline v0、Golden evidence pack、FAQ、known risks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clean demo evidence 与 blind-solve evidence 可执行；数量/构成为 [P]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GL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G3 Qualification &amp; assignment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多渠道 sourcing、身份/claim 验证、role-specific assessment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qualification packet、scope、COI/雇主限制、assignment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候选人与 role/domain/software/risk 匹配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GL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G4 Authoring &amp; engineering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task spec、input、reference draft、environment、evaluator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versioned task/environment/reference/evaluator package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start/reset/health、rights 与 positive/negative controls 可运行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TE（集成）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G5 Batch zero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Blinded crossed runs、独立 review、六类 root-cause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artifacts/traces、item×criterion decisions、incident log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关键 defects 有归因、修复、回归或明确 underdetermined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GL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G6 Release assurance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Domain、technical、rights/security、reference custody 集成复核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release memo、limitations、RACI/COI/access evidence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无 unresolved mandatory blocker；FA 独立签字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FA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G7 Controlled production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版本化批次、风险抽审、quality/integrity monitoring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funnel、rework、root-cause、access/change logs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只在 pilot-approved gates 内扩产；漂移可见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BO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G8a Quality refresh/retire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Quarantine、repair、invalidate、rotate、retire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impact analysis、corrective evidence、new revision、closure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受影响 lineage 已处理，quality 残余风险获批准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BO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G8b Rights/security/deboard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Contain、revoke、rotate secret、return/delete、deboard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exposure/custody analysis、revocation/transfer evidence、closure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rights/security/access 决定单独关闭；release 仍由 FA 决定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</w:t>
            </w:r>
          </w:p>
        </w:tc>
      </w:tr>
    </w:tbl>
    <w:p>
      <w:pPr>
        <w:spacing w:after="0" w:before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3.2 两条闭环</w:t>
      </w:r>
    </w:p>
    <w:p>
      <w:pPr>
        <w:pStyle w:val="ListBullet"/>
      </w:pPr>
      <w:r>
        <w:rPr>
          <w:rFonts w:ascii="Calibri" w:hAnsi="Calibri" w:eastAsia="Microsoft YaHei"/>
          <w:b/>
          <w:color w:val="000000"/>
          <w:sz w:val="22"/>
        </w:rPr>
        <w:t>Asset loop [R]：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scenario → spec → environment/reference/evaluator → blind solve → domain/technical/security assurance → release。</w:t>
      </w:r>
    </w:p>
    <w:p>
      <w:pPr>
        <w:pStyle w:val="ListBullet"/>
      </w:pPr>
      <w:r>
        <w:rPr>
          <w:rFonts w:ascii="Calibri" w:hAnsi="Calibri" w:eastAsia="Microsoft YaHei"/>
          <w:b/>
          <w:color w:val="000000"/>
          <w:sz w:val="22"/>
        </w:rPr>
        <w:t>Learning loop [R]：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disagreement/incident → 六类 root cause → versioned fix → regression → guideline/qualification update → re-baseline。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>[R] 任何口头答疑、临时 tolerance、私下分享 reference 或 reviewer “凭经验放行”都会绕过闭环，必须转成有版本、有 owner、有影响面的变更单。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4. 专家画像与 Qualification Matrix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>[F/C] 本节引用来源只支持各证据类型的 scope、局限与研究/机构主张。[I/R] 五类角色画像、red flags 与核验路由是本项目映射；任何录用、复测与晋升 cutoff 均为 [P]。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4.1 五类专家角色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</w:tblPr>
      <w:tblGrid>
        <w:gridCol w:w="1500"/>
        <w:gridCol w:w="2600"/>
        <w:gridCol w:w="2500"/>
        <w:gridCol w:w="1760"/>
        <w:gridCol w:w="1000"/>
      </w:tblGrid>
      <w:tr>
        <w:trPr>
          <w:tblHeader w:val="true"/>
          <w:cantSplit w:val="true"/>
        </w:trPr>
        <w:tc>
          <w:tcPr>
            <w:tcW w:type="dxa" w:w="15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角色</w:t>
            </w:r>
          </w:p>
        </w:tc>
        <w:tc>
          <w:tcPr>
            <w:tcW w:type="dxa" w:w="26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核心画像</w:t>
            </w:r>
          </w:p>
        </w:tc>
        <w:tc>
          <w:tcPr>
            <w:tcW w:type="dxa" w:w="25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最直接的资格证据</w:t>
            </w:r>
          </w:p>
        </w:tc>
        <w:tc>
          <w:tcPr>
            <w:tcW w:type="dxa" w:w="176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不能单独依赖</w:t>
            </w:r>
          </w:p>
        </w:tc>
        <w:tc>
          <w:tcPr>
            <w:tcW w:type="dxa" w:w="10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项目 gate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Domain expert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概念/法规/变量/高风险场景与 credible alternatives 深度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近期实践、案例访谈、可验证专业判断/作品；必要执照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学位、论文数、seniority、协会会员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unseen scenario 风险识别与反例分析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Practitioner author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当前能在目标软件中完成真实 workflow，并拆成可执行 spec/reference/evaluation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等价环境 blind work sample、native artifact、trace、reverse walkthrough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简历声称、静态作品、理论面试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先过 practitioner task，再过 authoring exercise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Group lead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能做 capability map、guideline/Golden、校准、变更与升级；识别六类问题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review/calibration sample、歧义诊断、版本变更记录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仅领域 seniority 或 people-manager title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对含歧义/evaluator 缺陷样例分类、修订并说明证据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Independent solver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未见 reference/author rationale，仅凭 participant-visible packet 完成并记录阻塞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隔离、unseen、clean environment run + artifact/trace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author 自测、看过 Golden/reference 后求解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prior-exposure/COI 声明；只见 R0 input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Domain reviewer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判断领域正确性、alternate-correct、实质错误与边界，并写可审计理由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blind review、counterexample generation、两阶段判断、shadow review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高 author yield、与 lead 一致、解释流畅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reviewer-specific Golden + shadow + 独立 promotion approval</w:t>
            </w:r>
          </w:p>
        </w:tc>
      </w:tr>
    </w:tbl>
    <w:p>
      <w:pPr>
        <w:spacing w:after="0" w:before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4.2 每种证据能证明什么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</w:tblPr>
      <w:tblGrid>
        <w:gridCol w:w="1550"/>
        <w:gridCol w:w="3300"/>
        <w:gridCol w:w="2850"/>
        <w:gridCol w:w="1660"/>
      </w:tblGrid>
      <w:tr>
        <w:trPr>
          <w:tblHeader w:val="true"/>
          <w:cantSplit w:val="true"/>
        </w:trPr>
        <w:tc>
          <w:tcPr>
            <w:tcW w:type="dxa" w:w="15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证据</w:t>
            </w:r>
          </w:p>
        </w:tc>
        <w:tc>
          <w:tcPr>
            <w:tcW w:type="dxa" w:w="33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能证明</w:t>
            </w:r>
          </w:p>
        </w:tc>
        <w:tc>
          <w:tcPr>
            <w:tcW w:type="dxa" w:w="28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不能证明</w:t>
            </w:r>
          </w:p>
        </w:tc>
        <w:tc>
          <w:tcPr>
            <w:tcW w:type="dxa" w:w="166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最小控制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简历/CV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候选人声称的时间线、岗位、工具、项目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真实性、个人贡献、当前熟练度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claim ledger；只核验岗位相关关键 claims；允许解释差异 [S15, S1e]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学历/证书/执照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issuer/scheme scope、考试或合法执业门槛、有效状态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benchmark authoring、当前软件、完整实践质量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issuer/registry、scope、status、recertification、discipline check [S18, S1b, S1g]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近期实践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对目标 workflow/软件/约束的近期接触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每项能力都保持、独立完成、达到本项目标准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最后实操、版本、个人角色、可验证 outcome + blind sample [S14]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作品/portfolio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过去 artifact、复杂度、表达与决策上下文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authorship、当前能力、展示权利、任务可比性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contribution boundary、native source/versions、reverse walkthrough、rights [S15, S1e]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结构化面试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可比的具体决策逻辑、失败复盘、边界、沟通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实际软件操作、artifact 质量、回答真实性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同题同序、预定义 probes、行为锚定评分、双人记录、pilot [S11-S12, S1f]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Blind work sample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当前是否能在规定条件完成代表性工作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整个职业能力、长期协作、跨环境迁移、未来稳定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unseen 变体、标准环境/合理便利、artifact+trace、identity binding [S10, S13, S16, S1c]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Role-specific Golden task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对本项目 author/solver/reviewer 行为最接近的表现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泄漏后 general competence、其他软件/领域、永久稳定性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分角色、secure variant pool、exposure log、复测与 shadow audit [S10, S1c]</w:t>
            </w:r>
          </w:p>
        </w:tc>
      </w:tr>
    </w:tbl>
    <w:p>
      <w:pPr>
        <w:spacing w:after="0" w:before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4.3 反简历夸大、过时、代做、理论-only 与 COI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>[I/R] 下列 red flags 只触发证据化核验，不自动拒绝；身份、监考或自动异常信号的 false-positive、合理便利与 appeal 结果必须在 pilot 评估。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</w:tblPr>
      <w:tblGrid>
        <w:gridCol w:w="1550"/>
        <w:gridCol w:w="3300"/>
        <w:gridCol w:w="2850"/>
        <w:gridCol w:w="1660"/>
      </w:tblGrid>
      <w:tr>
        <w:trPr>
          <w:tblHeader w:val="true"/>
          <w:cantSplit w:val="true"/>
        </w:trPr>
        <w:tc>
          <w:tcPr>
            <w:tcW w:type="dxa" w:w="15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风险</w:t>
            </w:r>
          </w:p>
        </w:tc>
        <w:tc>
          <w:tcPr>
            <w:tcW w:type="dxa" w:w="33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Red flags（不是结论）</w:t>
            </w:r>
          </w:p>
        </w:tc>
        <w:tc>
          <w:tcPr>
            <w:tcW w:type="dxa" w:w="28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决定性核验</w:t>
            </w:r>
          </w:p>
        </w:tc>
        <w:tc>
          <w:tcPr>
            <w:tcW w:type="dxa" w:w="166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不得采用的捷径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简历夸大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时间线/职责矛盾、一直用“we”、无法解释关键取舍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structured claim/reference check；reverse walkthrough；blind sample 交叉验证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文风、口音、紧张或单一日期错误直接定罪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过时经验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只熟悉旧 UI/标准/格式，最近实践无法核验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当前或等价版本 blind sample；记录版本跨度与 relearning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统一“超过 X 年失效”；按年龄/毕业年份筛除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代做/身份替换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阶段间身份/操作不一致、未授权协作者、trace 与现场动作冲突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resolve/validate/verify；attended random variant；人工复核与 appeal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单看证件、面部/键击/AI authorship score 自动封禁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理论-only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能解释概念但无法创建/修改 native artifact，不能处理错误状态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clean environment end-to-end software task；artifact/version/log/action/final state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证书、论文、教程或口头 screen-share 当作完成证据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作品非本人主导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不能说明 personal action/decision，不能重现局部操作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contribution boundary、原始 versions/commits（有权时）、mini-sample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要求泄漏前雇主/客户机密；把团队协作本身视为负面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COI/雇主限制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参与 reference、与客户/供应商/竞争方有利益、结果激励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assignment-level disclosure、employer clearance、RS 决定 recusal/controls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只在入池时问一次；让 conflicted reviewer 接触材料后再回避</w:t>
            </w:r>
          </w:p>
        </w:tc>
      </w:tr>
    </w:tbl>
    <w:p>
      <w:pPr>
        <w:spacing w:after="0" w:before="40"/>
      </w:pPr>
    </w:p>
    <w:p>
      <w:pPr/>
      <w:r>
        <w:rPr>
          <w:rFonts w:ascii="Calibri" w:hAnsi="Calibri" w:eastAsia="Microsoft YaHei"/>
          <w:b w:val="0"/>
          <w:color w:val="000000"/>
          <w:sz w:val="22"/>
        </w:rPr>
        <w:t>[R] 自动异常信号只能触发人工核验，不得单独作不利决定；身份核验也不能证明专业能力。[S17, S1c]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5. Sourcing Channel 比较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>[I/R] 以下是机制比较，不是行业事实、速度、成本或质量排名。本次检索没有找到六种渠道在 ALE-style 生产上的高质量 head-to-head 因果证据。[S19, S1a, S1d]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</w:tblPr>
      <w:tblGrid>
        <w:gridCol w:w="1500"/>
        <w:gridCol w:w="2600"/>
        <w:gridCol w:w="2500"/>
        <w:gridCol w:w="1760"/>
        <w:gridCol w:w="1000"/>
      </w:tblGrid>
      <w:tr>
        <w:trPr>
          <w:tblHeader w:val="true"/>
          <w:cantSplit w:val="true"/>
        </w:trPr>
        <w:tc>
          <w:tcPr>
            <w:tcW w:type="dxa" w:w="15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渠道</w:t>
            </w:r>
          </w:p>
        </w:tc>
        <w:tc>
          <w:tcPr>
            <w:tcW w:type="dxa" w:w="26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适用情况</w:t>
            </w:r>
          </w:p>
        </w:tc>
        <w:tc>
          <w:tcPr>
            <w:tcW w:type="dxa" w:w="25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稀缺触达/覆盖机制</w:t>
            </w:r>
          </w:p>
        </w:tc>
        <w:tc>
          <w:tcPr>
            <w:tcW w:type="dxa" w:w="176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质量与保密控制</w:t>
            </w:r>
          </w:p>
        </w:tc>
        <w:tc>
          <w:tcPr>
            <w:tcW w:type="dxa" w:w="10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可扩展性边界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已有专家池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重复/相邻 workflow，已有可审计历史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Warm leads 与历史 calibration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当前软件重资格；assignment COI；外部独立 solver/reviewer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技能变旧、同质盲点、只覆盖曾招过领域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行业/职业协会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有执照/职业体系/标准、稀缺 sub-specialty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nominations、资格地图、多地区网络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协会只提名；会员不免测；披露 advocacy/sponsor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单协会复制网络，非会员/边缘实践漏失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职业/开源社区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新工具、快速演化生态、公开 artifact 丰富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alias/community contribution 发现 emergent practitioners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authorship/identity/license/employer check + blind sample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热度/self-promotion/群体规范偏差；公开 profile ≠ 保密能力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大学实验室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frontier science、罕见方法、文献/实验深度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论文/项目网络触达 niche expertise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grant/sponsor/IP/未发表数据 COI；若 author 仍过 practitioner task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商业/监管 workflow 与专业软件熟练度未必覆盖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供应商/专业服务商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vendor-specific 软件、格式、账号与支持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产品生态内稀缺 SME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marketing 不作证据；合同/license；涉及自家产品不得独立终审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单一实现偏见、直接商业利益、客户数据边界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定向猎寻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capability map 明确缺口；需要行业×软件×法域交叉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可复现 search spec 与多 seed source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保存 query/排除/转化；lead generation 与最终选择分离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依赖检索词/猎寻者判断，难形成可比全市场覆盖</w:t>
            </w:r>
          </w:p>
        </w:tc>
      </w:tr>
    </w:tbl>
    <w:p>
      <w:pPr>
        <w:spacing w:after="0" w:before="40"/>
      </w:pPr>
    </w:p>
    <w:p>
      <w:pPr/>
      <w:r>
        <w:rPr>
          <w:rFonts w:ascii="Calibri" w:hAnsi="Calibri" w:eastAsia="Microsoft YaHei"/>
          <w:b w:val="0"/>
          <w:color w:val="000000"/>
          <w:sz w:val="22"/>
        </w:rPr>
        <w:t>[R] 所有渠道通过同一 role-specific gate；高风险/争议单元需要 source-diversity evidence。独立 lead source 的数量、构成与风险覆盖均为 [P]；单一 source cluster 须记录风险并增加独立 solve/review 证据。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6. Golden Case、Guideline 与 Batch-Zero 最小交付包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>[R] 下表是 executable evidence-pack schema，而非来源原生标准；每类 control case、solver、reviewer、repeat 的数量与接受阈值均为 [P]。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</w:tblPr>
      <w:tblGrid>
        <w:gridCol w:w="2050"/>
        <w:gridCol w:w="4450"/>
        <w:gridCol w:w="2860"/>
      </w:tblGrid>
      <w:tr>
        <w:trPr>
          <w:tblHeader w:val="true"/>
          <w:cantSplit w:val="true"/>
        </w:trPr>
        <w:tc>
          <w:tcPr>
            <w:tcW w:type="dxa" w:w="20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Package</w:t>
            </w:r>
          </w:p>
        </w:tc>
        <w:tc>
          <w:tcPr>
            <w:tcW w:type="dxa" w:w="44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最小字段/文件</w:t>
            </w:r>
          </w:p>
        </w:tc>
        <w:tc>
          <w:tcPr>
            <w:tcW w:type="dxa" w:w="286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验收重点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Construct &amp; scenario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intended capability、excluded claims、scenario matrix、high-misclassification cases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测量目标与客户 use case 对齐；不以难度/通过率替代 validity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Visible task contract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description、constraints、allowed resources、input/output paths、end condition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hidden evaluator 不强制题面不可合理推知的要求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Input manifest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schema、format、hash、provenance、rights、visibility、异常约定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可重建、可授权、无 reference clue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Software/environment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OS/image/provider、software/plugins、license、locale/timezone、network、account、dependencies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clean build、health check、版本固定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Start/reset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idempotent start、output/reference 清理、snapshot restore、state/hash checks、retry semantics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同一 run/新 run 区分；infra exception 不伪装成 expert 0 分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Expected artifact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required/optional artifacts、path、format、parse/open、cross-file invariants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可观察终态，不限定不必要的制作路径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Reference package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canonical artifacts、provenance/hash/rights/custodian、limitations、change history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reference 是受控证据，不是无误差真值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Alternate-correct register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已知正确变体、mandatory invariants、可变布局/路径/区间、接受理由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不错罚合理多解 [S22, S24]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Rubric/evaluator map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visible requirement → evidence → criterion → gate/credit → scorer/probe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criterion coverage、hard gate 与 partial credit 有理由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Evaluator control library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canonical、independent correct、alternate-correct、empty/corrupt、known-bad、mutation/metamorphic、shortcut/injection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同时测 false accept、false reject 与 anti-gaming [S05, S09b, S23]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Independent technical replay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未参与对应实现者对 environment clean reset/rebuild 与 evaluator coverage/control library 的 replay evidence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Builder 不成为唯一技术 accepter；人员组合与 replay 构成为 [P]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Guideline/FAQ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definitions、demo、checklist、正反例、FAQ、escalation、decision log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口头标准必须版本化；demo 不是唯一合法路径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Blind-solver pack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只含 R0 inputs、visible task、permitted environment；无 reference/evaluator internals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prior exposure、COI、trace 与 blocker log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Batch-zero evidence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raw artifacts、trajectory、logs、health/reset、per-criterion outcome、initial judgments、adjudication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保留原始分歧与被拒解释，不只保留最终共识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Change/release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revision、owner、reason、affected instances、regression、limitations、refresh triggers、FA decision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每次修改都可追溯、可回滚、可重基线</w:t>
            </w:r>
          </w:p>
        </w:tc>
      </w:tr>
    </w:tbl>
    <w:p>
      <w:pPr>
        <w:spacing w:after="0" w:before="40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7. Batch Zero：变量与六类问题诊断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>[I/R] 六类 taxonomy 是本项目的 fault-isolation schema，不是任一来源原生分类；实验构成、统计方法、样本与阈值均为 [P]。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7.1 必测变量</w:t>
      </w:r>
    </w:p>
    <w:p>
      <w:pPr>
        <w:pStyle w:val="ListBullet"/>
      </w:pPr>
      <w:r>
        <w:rPr>
          <w:rFonts w:ascii="Calibri" w:hAnsi="Calibri" w:eastAsia="Microsoft YaHei"/>
          <w:b/>
          <w:color w:val="000000"/>
          <w:sz w:val="22"/>
        </w:rPr>
        <w:t>Guideline/task：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visible-spec insufficiency、clarification dependency、item×criterion ambiguity、first-attempt executable completion、reason-code distribution。</w:t>
      </w:r>
    </w:p>
    <w:p>
      <w:pPr>
        <w:pStyle w:val="ListBullet"/>
      </w:pPr>
      <w:r>
        <w:rPr>
          <w:rFonts w:ascii="Calibri" w:hAnsi="Calibri" w:eastAsia="Microsoft YaHei"/>
          <w:b/>
          <w:color w:val="000000"/>
          <w:sz w:val="22"/>
        </w:rPr>
        <w:t>Expert：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按 domain/software/criterion/severity 的 error profile、rationale adequacy、跨 validated cases 的重现、requalification/retest delta。</w:t>
      </w:r>
    </w:p>
    <w:p>
      <w:pPr>
        <w:pStyle w:val="ListBullet"/>
      </w:pPr>
      <w:r>
        <w:rPr>
          <w:rFonts w:ascii="Calibri" w:hAnsi="Calibri" w:eastAsia="Microsoft YaHei"/>
          <w:b/>
          <w:color w:val="000000"/>
          <w:sz w:val="22"/>
        </w:rPr>
        <w:t>Case：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input/schema/hash/provenance defect、feasibility、外部依赖、单 case 异常与同 workflow 变体一致性。</w:t>
      </w:r>
    </w:p>
    <w:p>
      <w:pPr>
        <w:pStyle w:val="ListBullet"/>
      </w:pPr>
      <w:r>
        <w:rPr>
          <w:rFonts w:ascii="Calibri" w:hAnsi="Calibri" w:eastAsia="Microsoft YaHei"/>
          <w:b/>
          <w:color w:val="000000"/>
          <w:sz w:val="22"/>
        </w:rPr>
        <w:t>Environment：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clean-start、reset reproducibility、rebuild/provider drift、license/network/permission/crash、known-good replay。</w:t>
      </w:r>
    </w:p>
    <w:p>
      <w:pPr>
        <w:pStyle w:val="ListBullet"/>
      </w:pPr>
      <w:r>
        <w:rPr>
          <w:rFonts w:ascii="Calibri" w:hAnsi="Calibri" w:eastAsia="Microsoft YaHei"/>
          <w:b/>
          <w:color w:val="000000"/>
          <w:sz w:val="22"/>
        </w:rPr>
        <w:t>Reference：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factual/structural/version/rights defect、independent reconstruction、alternate-correct discovery、coverage limitations。</w:t>
      </w:r>
    </w:p>
    <w:p>
      <w:pPr>
        <w:pStyle w:val="ListBullet"/>
      </w:pPr>
      <w:r>
        <w:rPr>
          <w:rFonts w:ascii="Calibri" w:hAnsi="Calibri" w:eastAsia="Microsoft YaHei"/>
          <w:b/>
          <w:color w:val="000000"/>
          <w:sz w:val="22"/>
        </w:rPr>
        <w:t>Evaluator：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false accept/reject、criterion coverage、repeatability、mutation/metamorphic response、known-bad escape、legitimate regression、judge/injection/drift。</w:t>
      </w:r>
    </w:p>
    <w:p>
      <w:pPr>
        <w:pStyle w:val="ListBullet"/>
      </w:pPr>
      <w:r>
        <w:rPr>
          <w:rFonts w:ascii="Calibri" w:hAnsi="Calibri" w:eastAsia="Microsoft YaHei"/>
          <w:b/>
          <w:color w:val="000000"/>
          <w:sz w:val="22"/>
        </w:rPr>
        <w:t>Review/governance：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raw agreement + confusion/base rate、chance-corrected reliability（适用时）、decision reversal、calibration drift、yield-pressure override、COI/access/reference incidents。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>[R] 所有指标同时报告 raw count、denominator、base rate、missing/excluded reason 与 uncertainty；agreement 按 item×criterion×severity 分层。[P] 统计量与阈值由 measurement scale、decision use 与 pilot 决定。[S06, S28]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7.2 六类根因矩阵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</w:tblPr>
      <w:tblGrid>
        <w:gridCol w:w="1500"/>
        <w:gridCol w:w="2600"/>
        <w:gridCol w:w="2500"/>
        <w:gridCol w:w="1760"/>
        <w:gridCol w:w="1000"/>
      </w:tblGrid>
      <w:tr>
        <w:trPr>
          <w:tblHeader w:val="true"/>
          <w:cantSplit w:val="true"/>
        </w:trPr>
        <w:tc>
          <w:tcPr>
            <w:tcW w:type="dxa" w:w="15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根因</w:t>
            </w:r>
          </w:p>
        </w:tc>
        <w:tc>
          <w:tcPr>
            <w:tcW w:type="dxa" w:w="26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典型信号</w:t>
            </w:r>
          </w:p>
        </w:tc>
        <w:tc>
          <w:tcPr>
            <w:tcW w:type="dxa" w:w="25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控制/反证实验</w:t>
            </w:r>
          </w:p>
        </w:tc>
        <w:tc>
          <w:tcPr>
            <w:tcW w:type="dxa" w:w="176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归因证据</w:t>
            </w:r>
          </w:p>
        </w:tc>
        <w:tc>
          <w:tcPr>
            <w:tcW w:type="dxa" w:w="10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修复 owner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Guideline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多名合格 solver 对同一 visible requirement 稳定分歧；FAQ 有隐藏标准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固定 case/env/ref/eval，只加澄清句后盲测；reviewer 先不看 reference 解释题意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澄清后收敛，case 可行且 ref/eval controls 通过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GL/BO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Expert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错误集中同一人/技能步骤，并跨多个 validated cases 重现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同 case 换 expert；同 expert 跨 case；blind software sample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其他匹配专家稳定完成，该 expert 错误随人移动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GL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Case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input 损坏/缺失、约束矛盾、不可行或外部状态变化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hash/schema/provenance；多人 feasibility；替换 input 保持 workflow/evaluator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问题随 case/input 移动，换 expert/guideline/evaluator 仍在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AU/TE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Environment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known-good 失败、reset 状态不同、license/network/version/crash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preflight/Golden replay；换 image/provider；固定 artifact 只跑 parser/scorer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失败随 image/provider/session 移动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EN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Reference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canonical factual/structural/version/rights 错；正确替代与 gold 不同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blind domain judgment；独立重建；多 ref/invariant；替换 ref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evaluator 行为随 ref 变化；多名独立专家支持 alternate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DR/custodian</w:t>
            </w:r>
          </w:p>
        </w:tc>
      </w:tr>
      <w:tr>
        <w:trPr>
          <w:cantSplit w:val="true"/>
        </w:trPr>
        <w:tc>
          <w:tcPr>
            <w:tcW w:type="dxa" w:w="1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Evaluator</w:t>
            </w:r>
          </w:p>
        </w:tc>
        <w:tc>
          <w:tcPr>
            <w:tcW w:type="dxa" w:w="26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known-bad 通过、alternate-correct 被拒、shortcut 得分、judge 漂移</w:t>
            </w:r>
          </w:p>
        </w:tc>
        <w:tc>
          <w:tcPr>
            <w:tcW w:type="dxa" w:w="2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positive/negative/alternate corpus；mutation；只换 scorer；人工 criterion review</w:t>
            </w:r>
          </w:p>
        </w:tc>
        <w:tc>
          <w:tcPr>
            <w:tcW w:type="dxa" w:w="17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错误随 evaluator version/prompt/tolerance 移动</w:t>
            </w:r>
          </w:p>
        </w:tc>
        <w:tc>
          <w:tcPr>
            <w:tcW w:type="dxa" w:w="10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EE/DR</w:t>
            </w:r>
          </w:p>
        </w:tc>
      </w:tr>
    </w:tbl>
    <w:p>
      <w:pPr>
        <w:spacing w:after="0" w:before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7.3 诊断顺序</w:t>
      </w:r>
    </w:p>
    <w:p>
      <w:pPr>
        <w:numPr>
          <w:ilvl w:val="0"/>
          <w:numId w:val="11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[R] 保全 frozen package、artifact、trace、state 与原始判断；停止覆盖。</w:t>
      </w:r>
    </w:p>
    <w:p>
      <w:pPr>
        <w:numPr>
          <w:ilvl w:val="0"/>
          <w:numId w:val="11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[R] 先排 input/reference hash、start/reset、software/license 与 exception class；infra fault 不记 expert failure。</w:t>
      </w:r>
    </w:p>
    <w:p>
      <w:pPr>
        <w:numPr>
          <w:ilvl w:val="0"/>
          <w:numId w:val="11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[R] Domain reviewer 只看 visible contract 与 artifact，先独立判断并写理由。</w:t>
      </w:r>
    </w:p>
    <w:p>
      <w:pPr>
        <w:numPr>
          <w:ilvl w:val="0"/>
          <w:numId w:val="11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[R] 再揭示 reference/provenance，比较 mandatory invariants 与 alternate-correct。</w:t>
      </w:r>
    </w:p>
    <w:p>
      <w:pPr>
        <w:numPr>
          <w:ilvl w:val="0"/>
          <w:numId w:val="11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[R] 对保存 artifacts 运行 evaluator controls，避免重跑 agent 引入新变量。</w:t>
      </w:r>
    </w:p>
    <w:p>
      <w:pPr>
        <w:numPr>
          <w:ilvl w:val="0"/>
          <w:numId w:val="11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[R] 一次只替换 expert、case、environment、reference、evaluator 或 guideline 中一个，观察症状是否随组件移动。</w:t>
      </w:r>
    </w:p>
    <w:p>
      <w:pPr>
        <w:numPr>
          <w:ilvl w:val="0"/>
          <w:numId w:val="11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 xml:space="preserve">[R] 允许 primary + contributing cause；证据不足标 </w:t>
      </w:r>
      <w:r>
        <w:rPr>
          <w:rFonts w:ascii="Consolas" w:hAnsi="Consolas" w:eastAsia="Microsoft YaHei"/>
          <w:color w:val="1F4D78"/>
          <w:sz w:val="21"/>
        </w:rPr>
        <w:t>underdetermined</w:t>
      </w:r>
      <w:r>
        <w:rPr>
          <w:rFonts w:ascii="Calibri" w:hAnsi="Calibri" w:eastAsia="Microsoft YaHei"/>
          <w:b w:val="0"/>
          <w:color w:val="000000"/>
          <w:sz w:val="22"/>
        </w:rPr>
        <w:t>；修复后回归 affected lineage。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8. Reviewer 晋升、校准、Deboarding 与 Escalation Policy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8.1 Reviewer promotion gates</w:t>
      </w:r>
    </w:p>
    <w:p>
      <w:pPr>
        <w:numPr>
          <w:ilvl w:val="0"/>
          <w:numId w:val="12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资格边界：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[R] 通过当前 domain/software practitioner qualification；reviewer authority 不是 seniority 奖励。</w:t>
      </w:r>
    </w:p>
    <w:p>
      <w:pPr>
        <w:numPr>
          <w:ilvl w:val="0"/>
          <w:numId w:val="12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Blind qualification set：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[R] 使用未参与创作、未见 live reference 的 canonical、alternate-correct、known-bad、borderline、environment/reference/evaluator incidents；先盲判再揭示 evidence。[S27, S29]</w:t>
      </w:r>
    </w:p>
    <w:p>
      <w:pPr>
        <w:numPr>
          <w:ilvl w:val="0"/>
          <w:numId w:val="12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理由与诊断：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[R] 决定绑定 visible requirement、artifact evidence、criterion 与 severity；能识别六类问题、承认合理多解/unknown、提出最小修复与 regression。</w:t>
      </w:r>
    </w:p>
    <w:p>
      <w:pPr>
        <w:numPr>
          <w:ilvl w:val="0"/>
          <w:numId w:val="12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Independence/COI/custody：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[R] assignment disclosure、security training、最小权限；不得 review 自己或衍生 lineage，不以 yield/throughput 为唯一激励。</w:t>
      </w:r>
    </w:p>
    <w:p>
      <w:pPr>
        <w:numPr>
          <w:ilvl w:val="0"/>
          <w:numId w:val="12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Shadow review：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[R] 决定先不影响 release，由独立 reviewer/FA 对比 item-level decision、rationale、false accept/reject 与 escalation。</w:t>
      </w:r>
    </w:p>
    <w:p>
      <w:pPr>
        <w:numPr>
          <w:ilvl w:val="0"/>
          <w:numId w:val="12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Promotion decision：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[R] GL 提名，OP 汇集 evidence packet，RS 完成 COI/access clearance，既有 DR/independent assurer 提供咨询意见，由 FA 作为唯一 accountable owner 授予、暂停或撤销 reviewer authority；记录人名、日期、scope、expiry/review trigger。[P] Case 数、composition、shadow 期与 threshold 由 pilot 决定。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8.2 防自审、泄漏与放宽标准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[R] Author 可自检、答疑、修订并在合格后 review 其他无冲突任务；不可对自己任务作唯一 domain acceptance、单方改 evaluator/tolerance 后自批、兼唯一 custodian/FA。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[R] Solver 只见 R0 input/task/environment；reviewer 两阶段判断；calibration 优先 retired/synthetic anchors，不暴露 live private reference。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[R] Rubric/gate/weight/tolerance/judge prompt 只通过 versioned change request 修改；合理多解进入 alternate register 并 backtest 全部受影响 outputs。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[R] Dashboard 同时显示 false accept/reject、alternate rejection、root-cause mix、overturn/drift、COI/security；yield 是 funnel variable，不是 reviewer quality KPI。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[R] 新 reviewer、新 guideline/evaluator/reference、边界案、异常高 yield/低 escalation 进入风险抽审；抽审比例由 pilot 决定。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8.3 Calibration policy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Initial：domain-relevant blind anchors 覆盖 correct、known-bad、alternate-correct、borderline 与六类 fault。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Event-triggered：guideline、software/image、reference、evaluator/judge、客户 requirement 变更；重大 incident；drift；长期未 review。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Output：保留初始 item×criterion 判断、理由、confidence/unknown、root cause 与 escalation；会议共识不覆盖原始记录。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8.4 Deboarding policy</w:t>
      </w:r>
    </w:p>
    <w:p>
      <w:pPr>
        <w:numPr>
          <w:ilvl w:val="0"/>
          <w:numId w:val="13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OP 在 engagement end、转岗、暂停、vendor change、material COI 或 incident 开 ticket；记录 effective trigger。</w:t>
      </w:r>
    </w:p>
    <w:p>
      <w:pPr>
        <w:numPr>
          <w:ilvl w:val="0"/>
          <w:numId w:val="13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枚举 SSO/repo/storage/VPN/RDP/benchmark UI/software seats/cloud/API/service tokens/browser sessions/devices/physical access。</w:t>
      </w:r>
    </w:p>
    <w:p>
      <w:pPr>
        <w:numPr>
          <w:ilvl w:val="0"/>
          <w:numId w:val="13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RS 批准 scope/urgency，OP 执行，另一人验证；转移 branches、reference、evaluator、images、keys、queues 与 ownership。</w:t>
      </w:r>
    </w:p>
    <w:p>
      <w:pPr>
        <w:numPr>
          <w:ilvl w:val="0"/>
          <w:numId w:val="13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按合同/retention/hold 返还或销毁客户/项目材料；必要时 attestation；提醒 surviving confidentiality/IP obligations。</w:t>
      </w:r>
    </w:p>
    <w:p>
      <w:pPr>
        <w:numPr>
          <w:ilvl w:val="0"/>
          <w:numId w:val="13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保留且限制 quality/security/rights dispute 所需 logs；存在 exposure 时旋转 secret、撤销 share/session、quarantine affected lineage。</w:t>
      </w:r>
    </w:p>
    <w:p>
      <w:pPr>
        <w:numPr>
          <w:ilvl w:val="0"/>
          <w:numId w:val="13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更新 roster、COI、RACI、custody 与 successor；RS 在独立证据复核后关闭。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8.5 Escalation policy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</w:tblPr>
      <w:tblGrid>
        <w:gridCol w:w="1550"/>
        <w:gridCol w:w="3300"/>
        <w:gridCol w:w="2850"/>
        <w:gridCol w:w="1660"/>
      </w:tblGrid>
      <w:tr>
        <w:trPr>
          <w:tblHeader w:val="true"/>
          <w:cantSplit w:val="true"/>
        </w:trPr>
        <w:tc>
          <w:tcPr>
            <w:tcW w:type="dxa" w:w="15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Trigger</w:t>
            </w:r>
          </w:p>
        </w:tc>
        <w:tc>
          <w:tcPr>
            <w:tcW w:type="dxa" w:w="33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Immediate action</w:t>
            </w:r>
          </w:p>
        </w:tc>
        <w:tc>
          <w:tcPr>
            <w:tcW w:type="dxa" w:w="28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Accountable</w:t>
            </w:r>
          </w:p>
        </w:tc>
        <w:tc>
          <w:tcPr>
            <w:tcW w:type="dxa" w:w="166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Resume/closure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Guideline ambiguity/reasonable multi-solution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quarantine decision，保留 outputs，开 clarification ticket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GL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GL；若影响 release 则 FA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Case/input defect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停 affected instance/derivatives，保留原版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GL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FA 在修复证据后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Environment/start-reset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freeze image/version，clean-state reproduce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EN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FA 在独立复现后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Reference correctness/provenance defect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seal current，阻止静默修改，查 lineage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GL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FA 在新 ref 与 rerun 后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Reference custody/leak/access incident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revoke/contain、保全 access/export logs、查 exposure lineage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 关闭 containment；FA 单独决定 release resume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Evaluator under/over-coverage/gaming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freeze evaluator，保留 trace，运行 counterexamples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EE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FA 在 coverage evidence 后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Reviewer drift/yield pressure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保留 first-pass，移除 closure authority，独立 adjudication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BO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FA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COI/employer/third-party secret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revoke/recuse/quarantine，不扩散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 管 access；FA 管 release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PII/customer/IP/reference secret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stop processing/release，preserve，classify，rotate/quarantine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FA + BO/client（按合同）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Systemic integrity failure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pause release family，root-cause/corrective plan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BO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FA 在 corrective evidence 后</w:t>
            </w:r>
          </w:p>
        </w:tc>
      </w:tr>
    </w:tbl>
    <w:p>
      <w:pPr>
        <w:spacing w:after="0" w:before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605" w:footer="605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9. 完整 RACI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>[R] 缩写：</w:t>
      </w:r>
      <w:r>
        <w:rPr>
          <w:rFonts w:ascii="Consolas" w:hAnsi="Consolas" w:eastAsia="Microsoft YaHei"/>
          <w:color w:val="1F4D78"/>
          <w:sz w:val="21"/>
        </w:rPr>
        <w:t>BO</w:t>
      </w:r>
      <w:r>
        <w:rPr>
          <w:rFonts w:ascii="Calibri" w:hAnsi="Calibri" w:eastAsia="Microsoft YaHei"/>
          <w:b w:val="0"/>
          <w:color w:val="000000"/>
          <w:sz w:val="22"/>
        </w:rPr>
        <w:t xml:space="preserve"> benchmark owner；</w:t>
      </w:r>
      <w:r>
        <w:rPr>
          <w:rFonts w:ascii="Consolas" w:hAnsi="Consolas" w:eastAsia="Microsoft YaHei"/>
          <w:color w:val="1F4D78"/>
          <w:sz w:val="21"/>
        </w:rPr>
        <w:t>GL</w:t>
      </w:r>
      <w:r>
        <w:rPr>
          <w:rFonts w:ascii="Calibri" w:hAnsi="Calibri" w:eastAsia="Microsoft YaHei"/>
          <w:b w:val="0"/>
          <w:color w:val="000000"/>
          <w:sz w:val="22"/>
        </w:rPr>
        <w:t xml:space="preserve"> group lead；</w:t>
      </w:r>
      <w:r>
        <w:rPr>
          <w:rFonts w:ascii="Consolas" w:hAnsi="Consolas" w:eastAsia="Microsoft YaHei"/>
          <w:color w:val="1F4D78"/>
          <w:sz w:val="21"/>
        </w:rPr>
        <w:t>AU</w:t>
      </w:r>
      <w:r>
        <w:rPr>
          <w:rFonts w:ascii="Calibri" w:hAnsi="Calibri" w:eastAsia="Microsoft YaHei"/>
          <w:b w:val="0"/>
          <w:color w:val="000000"/>
          <w:sz w:val="22"/>
        </w:rPr>
        <w:t xml:space="preserve"> author；</w:t>
      </w:r>
      <w:r>
        <w:rPr>
          <w:rFonts w:ascii="Consolas" w:hAnsi="Consolas" w:eastAsia="Microsoft YaHei"/>
          <w:color w:val="1F4D78"/>
          <w:sz w:val="21"/>
        </w:rPr>
        <w:t>TE</w:t>
      </w:r>
      <w:r>
        <w:rPr>
          <w:rFonts w:ascii="Calibri" w:hAnsi="Calibri" w:eastAsia="Microsoft YaHei"/>
          <w:b w:val="0"/>
          <w:color w:val="000000"/>
          <w:sz w:val="22"/>
        </w:rPr>
        <w:t xml:space="preserve"> task engineer；</w:t>
      </w:r>
      <w:r>
        <w:rPr>
          <w:rFonts w:ascii="Consolas" w:hAnsi="Consolas" w:eastAsia="Microsoft YaHei"/>
          <w:color w:val="1F4D78"/>
          <w:sz w:val="21"/>
        </w:rPr>
        <w:t>EN</w:t>
      </w:r>
      <w:r>
        <w:rPr>
          <w:rFonts w:ascii="Calibri" w:hAnsi="Calibri" w:eastAsia="Microsoft YaHei"/>
          <w:b w:val="0"/>
          <w:color w:val="000000"/>
          <w:sz w:val="22"/>
        </w:rPr>
        <w:t xml:space="preserve"> environment engineer；</w:t>
      </w:r>
      <w:r>
        <w:rPr>
          <w:rFonts w:ascii="Consolas" w:hAnsi="Consolas" w:eastAsia="Microsoft YaHei"/>
          <w:color w:val="1F4D78"/>
          <w:sz w:val="21"/>
        </w:rPr>
        <w:t>EE</w:t>
      </w:r>
      <w:r>
        <w:rPr>
          <w:rFonts w:ascii="Calibri" w:hAnsi="Calibri" w:eastAsia="Microsoft YaHei"/>
          <w:b w:val="0"/>
          <w:color w:val="000000"/>
          <w:sz w:val="22"/>
        </w:rPr>
        <w:t xml:space="preserve"> evaluator engineer；</w:t>
      </w:r>
      <w:r>
        <w:rPr>
          <w:rFonts w:ascii="Consolas" w:hAnsi="Consolas" w:eastAsia="Microsoft YaHei"/>
          <w:color w:val="1F4D78"/>
          <w:sz w:val="21"/>
        </w:rPr>
        <w:t>IS</w:t>
      </w:r>
      <w:r>
        <w:rPr>
          <w:rFonts w:ascii="Calibri" w:hAnsi="Calibri" w:eastAsia="Microsoft YaHei"/>
          <w:b w:val="0"/>
          <w:color w:val="000000"/>
          <w:sz w:val="22"/>
        </w:rPr>
        <w:t xml:space="preserve"> independent solver；</w:t>
      </w:r>
      <w:r>
        <w:rPr>
          <w:rFonts w:ascii="Consolas" w:hAnsi="Consolas" w:eastAsia="Microsoft YaHei"/>
          <w:color w:val="1F4D78"/>
          <w:sz w:val="21"/>
        </w:rPr>
        <w:t>DR</w:t>
      </w:r>
      <w:r>
        <w:rPr>
          <w:rFonts w:ascii="Calibri" w:hAnsi="Calibri" w:eastAsia="Microsoft YaHei"/>
          <w:b w:val="0"/>
          <w:color w:val="000000"/>
          <w:sz w:val="22"/>
        </w:rPr>
        <w:t xml:space="preserve"> domain reviewer；</w:t>
      </w:r>
      <w:r>
        <w:rPr>
          <w:rFonts w:ascii="Consolas" w:hAnsi="Consolas" w:eastAsia="Microsoft YaHei"/>
          <w:color w:val="1F4D78"/>
          <w:sz w:val="21"/>
        </w:rPr>
        <w:t>RS</w:t>
      </w:r>
      <w:r>
        <w:rPr>
          <w:rFonts w:ascii="Calibri" w:hAnsi="Calibri" w:eastAsia="Microsoft YaHei"/>
          <w:b w:val="0"/>
          <w:color w:val="000000"/>
          <w:sz w:val="22"/>
        </w:rPr>
        <w:t xml:space="preserve"> rights/security reviewer；</w:t>
      </w:r>
      <w:r>
        <w:rPr>
          <w:rFonts w:ascii="Consolas" w:hAnsi="Consolas" w:eastAsia="Microsoft YaHei"/>
          <w:color w:val="1F4D78"/>
          <w:sz w:val="21"/>
        </w:rPr>
        <w:t>OP</w:t>
      </w:r>
      <w:r>
        <w:rPr>
          <w:rFonts w:ascii="Calibri" w:hAnsi="Calibri" w:eastAsia="Microsoft YaHei"/>
          <w:b w:val="0"/>
          <w:color w:val="000000"/>
          <w:sz w:val="22"/>
        </w:rPr>
        <w:t xml:space="preserve"> operations；</w:t>
      </w:r>
      <w:r>
        <w:rPr>
          <w:rFonts w:ascii="Consolas" w:hAnsi="Consolas" w:eastAsia="Microsoft YaHei"/>
          <w:color w:val="1F4D78"/>
          <w:sz w:val="21"/>
        </w:rPr>
        <w:t>FA</w:t>
      </w:r>
      <w:r>
        <w:rPr>
          <w:rFonts w:ascii="Calibri" w:hAnsi="Calibri" w:eastAsia="Microsoft YaHei"/>
          <w:b w:val="0"/>
          <w:color w:val="000000"/>
          <w:sz w:val="22"/>
        </w:rPr>
        <w:t xml:space="preserve"> final approver。每行只有一个 </w:t>
      </w:r>
      <w:r>
        <w:rPr>
          <w:rFonts w:ascii="Consolas" w:hAnsi="Consolas" w:eastAsia="Microsoft YaHei"/>
          <w:color w:val="1F4D78"/>
          <w:sz w:val="21"/>
        </w:rPr>
        <w:t>A</w:t>
      </w:r>
      <w:r>
        <w:rPr>
          <w:rFonts w:ascii="Calibri" w:hAnsi="Calibri" w:eastAsia="Microsoft YaHei"/>
          <w:b w:val="0"/>
          <w:color w:val="000000"/>
          <w:sz w:val="22"/>
        </w:rPr>
        <w:t>；具体人名与兼容组合为 [P]。</w:t>
      </w:r>
    </w:p>
    <w:tbl>
      <w:tblPr>
        <w:tblStyle w:val="TableGrid"/>
        <w:tblW w:type="dxa" w:w="1395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</w:tblPr>
      <w:tblGrid>
        <w:gridCol w:w="3500"/>
        <w:gridCol w:w="950"/>
        <w:gridCol w:w="950"/>
        <w:gridCol w:w="950"/>
        <w:gridCol w:w="950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true"/>
          <w:cantSplit w:val="true"/>
        </w:trPr>
        <w:tc>
          <w:tcPr>
            <w:tcW w:type="dxa" w:w="35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4"/>
              </w:rPr>
              <w:t>Activity</w:t>
            </w:r>
          </w:p>
        </w:tc>
        <w:tc>
          <w:tcPr>
            <w:tcW w:type="dxa" w:w="9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4"/>
              </w:rPr>
              <w:t>BO</w:t>
            </w:r>
          </w:p>
        </w:tc>
        <w:tc>
          <w:tcPr>
            <w:tcW w:type="dxa" w:w="9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4"/>
              </w:rPr>
              <w:t>GL</w:t>
            </w:r>
          </w:p>
        </w:tc>
        <w:tc>
          <w:tcPr>
            <w:tcW w:type="dxa" w:w="9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4"/>
              </w:rPr>
              <w:t>AU</w:t>
            </w:r>
          </w:p>
        </w:tc>
        <w:tc>
          <w:tcPr>
            <w:tcW w:type="dxa" w:w="9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4"/>
              </w:rPr>
              <w:t>TE</w:t>
            </w:r>
          </w:p>
        </w:tc>
        <w:tc>
          <w:tcPr>
            <w:tcW w:type="dxa" w:w="9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4"/>
              </w:rPr>
              <w:t>EN</w:t>
            </w:r>
          </w:p>
        </w:tc>
        <w:tc>
          <w:tcPr>
            <w:tcW w:type="dxa" w:w="9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4"/>
              </w:rPr>
              <w:t>EE</w:t>
            </w:r>
          </w:p>
        </w:tc>
        <w:tc>
          <w:tcPr>
            <w:tcW w:type="dxa" w:w="9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4"/>
              </w:rPr>
              <w:t>IS</w:t>
            </w:r>
          </w:p>
        </w:tc>
        <w:tc>
          <w:tcPr>
            <w:tcW w:type="dxa" w:w="9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4"/>
              </w:rPr>
              <w:t>DR</w:t>
            </w:r>
          </w:p>
        </w:tc>
        <w:tc>
          <w:tcPr>
            <w:tcW w:type="dxa" w:w="9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4"/>
              </w:rPr>
              <w:t>RS</w:t>
            </w:r>
          </w:p>
        </w:tc>
        <w:tc>
          <w:tcPr>
            <w:tcW w:type="dxa" w:w="9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4"/>
              </w:rPr>
              <w:t>OP</w:t>
            </w:r>
          </w:p>
        </w:tc>
        <w:tc>
          <w:tcPr>
            <w:tcW w:type="dxa" w:w="9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4"/>
              </w:rPr>
              <w:t>FA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Construct/scope/acceptance policy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A/R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Domain guideline/Golden/ambiguity taxonomy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A/R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Qualification/roster/conflict-safe assignment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Reviewer authority grant/suspend/revoke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Source/data classification and rights intake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A/R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Instance/reference/rubric authoring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Runnable package/input/start-reset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A/R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Environment build/pinning/isolation/reproducibility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A/R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Evaluator implementation/coverage/versioning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A/R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Blind independent solve/evidence capture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Domain review/alternate adjudication/reason code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A/R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Integrated reproducibility/evaluation packet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Rights/confidentiality/PII/COI clearance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A/R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Reference/evaluator-secret custody and split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Version/change/audit evidence control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Access approval/provision/review/revoke/log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Release-readiness decision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A/R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Post-release monitor/invalidate/rotate/refresh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Quality-integrity incident/root-cause plan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Rights/PII/COI/reference-security incident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</w:tr>
      <w:tr>
        <w:trPr>
          <w:cantSplit w:val="true"/>
        </w:trPr>
        <w:tc>
          <w:tcPr>
            <w:tcW w:type="dxa" w:w="35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5"/>
              </w:rPr>
              <w:t>Transfer/deboarding/custody closure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C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A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R</w:t>
            </w:r>
          </w:p>
        </w:tc>
        <w:tc>
          <w:tcPr>
            <w:tcW w:type="dxa" w:w="9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4"/>
              </w:rPr>
              <w:t>I</w:t>
            </w:r>
          </w:p>
        </w:tc>
      </w:tr>
    </w:tbl>
    <w:p>
      <w:pPr>
        <w:spacing w:after="0" w:before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9.1 同一资产/变更/事件的硬不兼容角色</w:t>
      </w:r>
    </w:p>
    <w:p>
      <w:pPr>
        <w:numPr>
          <w:ilvl w:val="0"/>
          <w:numId w:val="14"/>
        </w:numPr>
        <w:spacing w:after="120"/>
      </w:pPr>
      <w:r>
        <w:rPr>
          <w:rFonts w:ascii="Consolas" w:hAnsi="Consolas" w:eastAsia="Microsoft YaHei"/>
          <w:color w:val="1F4D78"/>
          <w:sz w:val="21"/>
        </w:rPr>
        <w:t>AU ≠ IS</w:t>
      </w:r>
      <w:r>
        <w:rPr>
          <w:rFonts w:ascii="Calibri" w:hAnsi="Calibri" w:eastAsia="Microsoft YaHei"/>
          <w:b w:val="0"/>
          <w:color w:val="000000"/>
          <w:sz w:val="22"/>
        </w:rPr>
        <w:t>；作者/实质编辑者不是 blind solver。</w:t>
      </w:r>
    </w:p>
    <w:p>
      <w:pPr>
        <w:numPr>
          <w:ilvl w:val="0"/>
          <w:numId w:val="14"/>
        </w:numPr>
        <w:spacing w:after="120"/>
      </w:pPr>
      <w:r>
        <w:rPr>
          <w:rFonts w:ascii="Consolas" w:hAnsi="Consolas" w:eastAsia="Microsoft YaHei"/>
          <w:color w:val="1F4D78"/>
          <w:sz w:val="21"/>
        </w:rPr>
        <w:t>AU ≠ sole DR</w:t>
      </w:r>
      <w:r>
        <w:rPr>
          <w:rFonts w:ascii="Calibri" w:hAnsi="Calibri" w:eastAsia="Microsoft YaHei"/>
          <w:b w:val="0"/>
          <w:color w:val="000000"/>
          <w:sz w:val="22"/>
        </w:rPr>
        <w:t>；作者可答疑，不作唯一 domain disposition。</w:t>
      </w:r>
    </w:p>
    <w:p>
      <w:pPr>
        <w:numPr>
          <w:ilvl w:val="0"/>
          <w:numId w:val="14"/>
        </w:numPr>
        <w:spacing w:after="120"/>
      </w:pPr>
      <w:r>
        <w:rPr>
          <w:rFonts w:ascii="Consolas" w:hAnsi="Consolas" w:eastAsia="Microsoft YaHei"/>
          <w:color w:val="1F4D78"/>
          <w:sz w:val="21"/>
        </w:rPr>
        <w:t>AU/TE/EN/EE ≠ FA</w:t>
      </w:r>
      <w:r>
        <w:rPr>
          <w:rFonts w:ascii="Calibri" w:hAnsi="Calibri" w:eastAsia="Microsoft YaHei"/>
          <w:b w:val="0"/>
          <w:color w:val="000000"/>
          <w:sz w:val="22"/>
        </w:rPr>
        <w:t xml:space="preserve"> 对自己的 artifact/change。</w:t>
      </w:r>
    </w:p>
    <w:p>
      <w:pPr>
        <w:numPr>
          <w:ilvl w:val="0"/>
          <w:numId w:val="14"/>
        </w:numPr>
        <w:spacing w:after="120"/>
      </w:pPr>
      <w:r>
        <w:rPr>
          <w:rFonts w:ascii="Consolas" w:hAnsi="Consolas" w:eastAsia="Microsoft YaHei"/>
          <w:color w:val="1F4D78"/>
          <w:sz w:val="21"/>
        </w:rPr>
        <w:t>IS ≠ DR</w:t>
      </w:r>
      <w:r>
        <w:rPr>
          <w:rFonts w:ascii="Calibri" w:hAnsi="Calibri" w:eastAsia="Microsoft YaHei"/>
          <w:b w:val="0"/>
          <w:color w:val="000000"/>
          <w:sz w:val="22"/>
        </w:rPr>
        <w:t xml:space="preserve"> 对自己的 solver run。</w:t>
      </w:r>
    </w:p>
    <w:p>
      <w:pPr>
        <w:numPr>
          <w:ilvl w:val="0"/>
          <w:numId w:val="14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Reference/evaluator custodian ≠ IS；有 sealed access 即不再 blind。</w:t>
      </w:r>
    </w:p>
    <w:p>
      <w:pPr>
        <w:numPr>
          <w:ilvl w:val="0"/>
          <w:numId w:val="14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Access requester/privileged user ≠ RS access approver；OP 执行但不批准自己的 exception。</w:t>
      </w:r>
    </w:p>
    <w:p>
      <w:pPr>
        <w:numPr>
          <w:ilvl w:val="0"/>
          <w:numId w:val="14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Production record creator/modifier ≠ 唯一能改写/关闭其 audit trail 的管理员。</w:t>
      </w:r>
    </w:p>
    <w:p>
      <w:pPr>
        <w:numPr>
          <w:ilvl w:val="0"/>
          <w:numId w:val="14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Incident subject ≠ investigator/evidence custodian/closure approver。</w:t>
      </w:r>
    </w:p>
    <w:p>
      <w:pPr>
        <w:numPr>
          <w:ilvl w:val="0"/>
          <w:numId w:val="14"/>
        </w:numPr>
        <w:spacing w:after="120"/>
      </w:pPr>
      <w:r>
        <w:rPr>
          <w:rFonts w:ascii="Consolas" w:hAnsi="Consolas" w:eastAsia="Microsoft YaHei"/>
          <w:color w:val="1F4D78"/>
          <w:sz w:val="21"/>
        </w:rPr>
        <w:t>BO ≠ FA</w:t>
      </w:r>
      <w:r>
        <w:rPr>
          <w:rFonts w:ascii="Calibri" w:hAnsi="Calibri" w:eastAsia="Microsoft YaHei"/>
          <w:b w:val="0"/>
          <w:color w:val="000000"/>
          <w:sz w:val="22"/>
        </w:rPr>
        <w:t xml:space="preserve"> 对 client-facing final/private holdout release；无法分离时需 independent countersignature。</w:t>
      </w:r>
    </w:p>
    <w:p>
      <w:pPr>
        <w:numPr>
          <w:ilvl w:val="0"/>
          <w:numId w:val="14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Assignment-specific COI reviewer 不得接触受影响材料、讨论或决定。</w:t>
      </w:r>
    </w:p>
    <w:p>
      <w:pPr>
        <w:numPr>
          <w:ilvl w:val="0"/>
          <w:numId w:val="14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Evaluator implementer 不得是其 coverage/control library 的唯一技术 accepter；environment builder 不得是其 clean-reset/rebuild evidence 的唯一 reproducer。独立 replay 的人员组合为 [P]。</w:t>
      </w:r>
    </w:p>
    <w:p>
      <w:pPr>
        <w:numPr>
          <w:ilvl w:val="0"/>
          <w:numId w:val="14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拥有同一资产 R2/R3 内容读取或导出权限的人，不得为该 blind run 提供 solver-facing provisioning/support 或操纵 evidence；必须跨侧时仅用 no-content service custody、独立审批与 protected logs。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>[F] GAO 指出职责分离不能消除 override/collusion；无法严格分离时应设计 alternative controls。[S32] [R] 任何例外记录 scope、reason、duration、exposure、compensating control、approver 与 expiry；pilot 测其是否真实发现缺陷。</w:t>
      </w:r>
    </w:p>
    <w:p>
      <w:pPr>
        <w:sectPr>
          <w:pgSz w:w="15840" w:h="12240" w:orient="landscape"/>
          <w:pgMar w:top="936" w:right="936" w:bottom="936" w:left="936" w:header="605" w:footer="605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10. Confidentiality、Rights 与 COI Checklist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 xml:space="preserve">[R] </w:t>
      </w:r>
      <w:r>
        <w:rPr>
          <w:rFonts w:ascii="Consolas" w:hAnsi="Consolas" w:eastAsia="Microsoft YaHei"/>
          <w:color w:val="1F4D78"/>
          <w:sz w:val="21"/>
        </w:rPr>
        <w:t>No/Unknown</w:t>
      </w:r>
      <w:r>
        <w:rPr>
          <w:rFonts w:ascii="Calibri" w:hAnsi="Calibri" w:eastAsia="Microsoft YaHei"/>
          <w:b w:val="0"/>
          <w:color w:val="000000"/>
          <w:sz w:val="22"/>
        </w:rPr>
        <w:t xml:space="preserve"> 在 mandatory row 默认阻止生产 access 或 release，直到 RS/客户/法律顾问解决或记录被批准例外。[P] 法域、合同、worker status、data flow、retention 与例外容忍度由客户事实和 counsel 决定。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</w:tblPr>
      <w:tblGrid>
        <w:gridCol w:w="1550"/>
        <w:gridCol w:w="3300"/>
        <w:gridCol w:w="2850"/>
        <w:gridCol w:w="1660"/>
      </w:tblGrid>
      <w:tr>
        <w:trPr>
          <w:tblHeader w:val="true"/>
          <w:cantSplit w:val="true"/>
        </w:trPr>
        <w:tc>
          <w:tcPr>
            <w:tcW w:type="dxa" w:w="15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Gate</w:t>
            </w:r>
          </w:p>
        </w:tc>
        <w:tc>
          <w:tcPr>
            <w:tcW w:type="dxa" w:w="33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必须回答/保存的证据</w:t>
            </w:r>
          </w:p>
        </w:tc>
        <w:tc>
          <w:tcPr>
            <w:tcW w:type="dxa" w:w="28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Owner</w:t>
            </w:r>
          </w:p>
        </w:tc>
        <w:tc>
          <w:tcPr>
            <w:tcW w:type="dxa" w:w="166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Unknown 时默认动作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Customer authority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哪个合同/指示允许接收、author、evaluate、retain 每个客户资产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Hold intake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Data inventory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客户/专家数据、PII、confidential、credentials、traces 在哪里、由谁处理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RS+OP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No production access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Purpose/minimisation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每字段是否为明确目的所必需；能否 fictitious/redacted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RS+GL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Remove or justify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Retention/disposal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record class、owner、trigger、delete method、legal hold、evidence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RS+OP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不编造期限；等 client-approved handling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Jurisdiction/transfer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parties、locations、cloud、onward transfer 与 counsel review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保持 approved boundary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NDA/access terms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protected info、purpose、use/disclosure、exceptions、incident、return/delete、survival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No confidential access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Contributor IP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谁创建 task/ref/rubric/evaluator；assignment/license/work-for-hire 是否成立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Hold release/reuse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Third-party rights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data/document/image/software/model/API/site/tool rights 是否兼容 sandbox/eval/release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RS+TE/EN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Replace/license/restrict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Employer restriction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outside work、confidentiality、client/export/professional duty、work product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RS+OP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不分配受影响工作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Inbound contamination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明确不得带前雇主/客户 secrets/files/templates/credentials；记录 provenance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RS+GL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Quarantine，不传播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Conflict of interest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客户/source/vendor/competitor、prior task/ref、财务/个人关系与结果激励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Recuse or safeguards before access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Reference custody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author/ref/evaluator/solver access matrix、export/change logs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RS+OP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Draft 不进 production eval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Account security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unique identity、no shared password、task-scoped privilege、approved secret store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RS+OP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No access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Auditability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能重建 create/change/view/export/seal/approve/release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OP+RS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Hold or approved compensating evidence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Supplier/subcontractor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security/IP/personnel change/onward subcontract/audit obligations 写入并验证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RS+OP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No supplier access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Release clearance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无 hidden refs、secrets、PII、comments/metadata、unlicensed material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RS+FA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Block release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Incident terms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report/preserve/contain/notify/customer contact/invalidation authority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RS+BO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Pause affected work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Deboarding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identity/asset inventory、revoke/transfer、return/delete、independent closure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RS+OP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Keep engagement open/escalate</w:t>
            </w:r>
          </w:p>
        </w:tc>
      </w:tr>
    </w:tbl>
    <w:p>
      <w:pPr>
        <w:spacing w:after="0" w:before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10.1 Reference custody states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R0 Public input</w:t>
      </w:r>
      <w:r>
        <w:rPr>
          <w:rFonts w:ascii="Calibri" w:hAnsi="Calibri" w:eastAsia="Microsoft YaHei"/>
          <w:b w:val="0"/>
          <w:color w:val="000000"/>
          <w:sz w:val="22"/>
        </w:rPr>
        <w:t>：solver 可见；保存 source、rights、hash/version。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R1 Working reference</w:t>
      </w:r>
      <w:r>
        <w:rPr>
          <w:rFonts w:ascii="Calibri" w:hAnsi="Calibri" w:eastAsia="Microsoft YaHei"/>
          <w:b w:val="0"/>
          <w:color w:val="000000"/>
          <w:sz w:val="22"/>
        </w:rPr>
        <w:t>：author/GL 可见的 candidate；完成 provenance、自检与分级。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R2 Sealed reference</w:t>
      </w:r>
      <w:r>
        <w:rPr>
          <w:rFonts w:ascii="Calibri" w:hAnsi="Calibri" w:eastAsia="Microsoft YaHei"/>
          <w:b w:val="0"/>
          <w:color w:val="000000"/>
          <w:sz w:val="22"/>
        </w:rPr>
        <w:t>：custody service 或 purpose-scoped DR/EE access；记录 seal/hash/version/access。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R3 Evaluator secret</w:t>
      </w:r>
      <w:r>
        <w:rPr>
          <w:rFonts w:ascii="Calibri" w:hAnsi="Calibri" w:eastAsia="Microsoft YaHei"/>
          <w:b w:val="0"/>
          <w:color w:val="000000"/>
          <w:sz w:val="22"/>
        </w:rPr>
        <w:t>：hidden tests/thresholds/credentials/judge prompt；service identity 优先。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R4 Release artifact</w:t>
      </w:r>
      <w:r>
        <w:rPr>
          <w:rFonts w:ascii="Calibri" w:hAnsi="Calibri" w:eastAsia="Microsoft YaHei"/>
          <w:b w:val="0"/>
          <w:color w:val="000000"/>
          <w:sz w:val="22"/>
        </w:rPr>
        <w:t>：经 rights/security、leak scan、release diff 与 FA 批准后才公开/交付。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11. 对 Micro1 方法的逐项裁决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>[I/R] 本节只说明 Micro1 假设与外部证据相容并给出本项目修改；公开来源没有直接验证 Micro1 方法本身，所有人员构成、阈值与运营效果仍为 [P]。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</w:tblPr>
      <w:tblGrid>
        <w:gridCol w:w="2050"/>
        <w:gridCol w:w="4450"/>
        <w:gridCol w:w="2860"/>
      </w:tblGrid>
      <w:tr>
        <w:trPr>
          <w:tblHeader w:val="true"/>
          <w:cantSplit w:val="true"/>
        </w:trPr>
        <w:tc>
          <w:tcPr>
            <w:tcW w:type="dxa" w:w="20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Micro1 假设</w:t>
            </w:r>
          </w:p>
        </w:tc>
        <w:tc>
          <w:tcPr>
            <w:tcW w:type="dxa" w:w="44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裁决</w:t>
            </w:r>
          </w:p>
        </w:tc>
        <w:tc>
          <w:tcPr>
            <w:tcW w:type="dxa" w:w="286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本项目修改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1. 少量 leads 先读材料/raw data、明确能力与风险、做 Golden/demo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修改后保留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先加 G0 construct/claim boundary 与 G1 rights/security；纳入 task/environment/evaluator engineering 与 blind-solve evidence，具体人员/case/重复构成为 [P]。Golden 是待反驳控制包。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2. Golden 拆 scenario/rubric/A-B/checklist/正反例/FAQ，lead 走全流程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修改后保留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新增 input/software/expected artifact/alternate-correct/reference custody/evaluator controls/known-bad/start-reset/escalation/access/change log。A/B preference 仅在 construct 需要时。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3. 标准稳定后按简历/assessment/面试/seniority/vertical/client 招募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修改后保留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Staged recruitment，不等永久稳定；资格按角色证据链，不以 seniority/credential 免测；客户要求转为 job-related、可审计 gate。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4. 最匹配专家跑 batch zero，区分 guideline/expert/case/合理多解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修改后保留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定义为 fault-isolation experiment；扩成 guideline/expert/case/environment/reference/evaluator 六类；盲化、component swap、trace、多标签归因。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5. 稳定、解释强的专家晋升 reviewer，建立升级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修改后保留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未见 cases、alternate-correct/known-bad/六类 fault、shadow review、COI/custody、独立批准、own-task recusal、drift/deboarding；不以 yield 为 KPI。</w:t>
            </w:r>
          </w:p>
        </w:tc>
      </w:tr>
    </w:tbl>
    <w:p>
      <w:pPr>
        <w:spacing w:after="0" w:before="40"/>
      </w:pPr>
    </w:p>
    <w:p>
      <w:pPr/>
      <w:r>
        <w:rPr>
          <w:rFonts w:ascii="Calibri" w:hAnsi="Calibri" w:eastAsia="Microsoft YaHei"/>
          <w:b/>
          <w:color w:val="000000"/>
          <w:sz w:val="22"/>
        </w:rPr>
        <w:t>删除的隐含假设 [R]：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每个 case 都需要 A/B preference；高 agreement 即 guideline 正确；高 acceptance yield 即 reviewer 优秀；优秀 author 自动成为 reviewer。</w:t>
      </w:r>
    </w:p>
    <w:p>
      <w:pPr/>
      <w:r>
        <w:rPr>
          <w:rFonts w:ascii="Calibri" w:hAnsi="Calibri" w:eastAsia="Microsoft YaHei"/>
          <w:b/>
          <w:color w:val="000000"/>
          <w:sz w:val="22"/>
        </w:rPr>
        <w:t>新增 [R]：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G0 owner/legal/security envelope；G3.5 身份/盲化/权限分区；每次变更 re-baseline；持续抽审；incident/rotation/retirement/deboarding。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12. 必须通过 Pilot 决定的人员与质量变量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12.1 人员与资格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Q_role,d</w:t>
      </w:r>
      <w:r>
        <w:rPr>
          <w:rFonts w:ascii="Calibri" w:hAnsi="Calibri" w:eastAsia="Microsoft YaHei"/>
          <w:b w:val="0"/>
          <w:color w:val="000000"/>
          <w:sz w:val="22"/>
        </w:rPr>
        <w:t>：domain 中满足 role-specific gate 的候选分布；按渠道记录，不当“市场供给率”。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A_role,d</w:t>
      </w:r>
      <w:r>
        <w:rPr>
          <w:rFonts w:ascii="Calibri" w:hAnsi="Calibri" w:eastAsia="Microsoft YaHei"/>
          <w:b w:val="0"/>
          <w:color w:val="000000"/>
          <w:sz w:val="22"/>
        </w:rPr>
        <w:t>：合格且在窗口内可用、通过 NDA/COI/雇主限制的 capacity。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H_role,stage,stratum</w:t>
      </w:r>
      <w:r>
        <w:rPr>
          <w:rFonts w:ascii="Calibri" w:hAnsi="Calibri" w:eastAsia="Microsoft YaHei"/>
          <w:b w:val="0"/>
          <w:color w:val="000000"/>
          <w:sz w:val="22"/>
        </w:rPr>
        <w:t>：各角色在各 gate、domain/software/evaluator/security stratum 的实测工时分布与尾部。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Span_GL</w:t>
      </w:r>
      <w:r>
        <w:rPr>
          <w:rFonts w:ascii="Calibri" w:hAnsi="Calibri" w:eastAsia="Microsoft YaHei"/>
          <w:b w:val="0"/>
          <w:color w:val="000000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Span_DR</w:t>
      </w:r>
      <w:r>
        <w:rPr>
          <w:rFonts w:ascii="Calibri" w:hAnsi="Calibri" w:eastAsia="Microsoft YaHei"/>
          <w:b w:val="0"/>
          <w:color w:val="000000"/>
          <w:sz w:val="22"/>
        </w:rPr>
        <w:t>：lead/reviewer 可有效覆盖的 active work 与 escalation queue；由错漏和等待变化估计。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Qualification signal predictiveness、sample reliability、sample-to-production transfer、retest delta、recency window、identity false positives/appeal outcomes。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Channel coverage/duplication、qualified-and-cleared completion、COI/rights constraints；不预设渠道 yield、速度或成本。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12.2 生产与质量</w:t>
      </w:r>
    </w:p>
    <w:p>
      <w:pPr>
        <w:spacing w:before="80" w:after="160" w:line="240" w:lineRule="auto"/>
        <w:ind w:left="288" w:right="288"/>
        <w:shd w:fill="F2F4F7"/>
      </w:pPr>
      <w:r>
        <w:rPr>
          <w:rFonts w:ascii="Consolas" w:hAnsi="Consolas" w:eastAsia="Microsoft YaHei"/>
          <w:color w:val="1F4D78"/>
          <w:sz w:val="17"/>
        </w:rPr>
        <w:t>N_instances = Σ(workflow w) V_w</w:t>
        <w:br/>
        <w:t>N_runs = Σ(configuration c, instance i) R_ci</w:t>
        <w:br/>
        <w:br/>
        <w:t>N_idea -&gt; N_spec_ready -&gt; N_engineered -&gt; N_oracle_pass</w:t>
        <w:br/>
        <w:t xml:space="preserve">       -&gt; N_independent_solve -&gt; N_review_accept</w:t>
        <w:br/>
        <w:t xml:space="preserve">       -&gt; N_rights_security_clear -&gt; N_release</w:t>
        <w:br/>
        <w:br/>
        <w:t>H_total = Σ(role r, stage s, stratum k) H_r,s,k</w:t>
        <w:br/>
        <w:t>Cost_total = Σr(H_r × Rate_r) + Compute + Storage + License + Security + Refresh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V_w</w:t>
      </w:r>
      <w:r>
        <w:rPr>
          <w:rFonts w:ascii="Calibri" w:hAnsi="Calibri" w:eastAsia="Microsoft YaHei"/>
          <w:b w:val="0"/>
          <w:color w:val="000000"/>
          <w:sz w:val="22"/>
        </w:rPr>
        <w:t xml:space="preserve"> workflow→instance multiplicity、</w:t>
      </w:r>
      <w:r>
        <w:rPr>
          <w:rFonts w:ascii="Consolas" w:hAnsi="Consolas" w:eastAsia="Microsoft YaHei"/>
          <w:color w:val="1F4D78"/>
          <w:sz w:val="21"/>
        </w:rPr>
        <w:t>R_ci</w:t>
      </w:r>
      <w:r>
        <w:rPr>
          <w:rFonts w:ascii="Calibri" w:hAnsi="Calibri" w:eastAsia="Microsoft YaHei"/>
          <w:b w:val="0"/>
          <w:color w:val="000000"/>
          <w:sz w:val="22"/>
        </w:rPr>
        <w:t xml:space="preserve"> repeated runs、所有 </w:t>
      </w:r>
      <w:r>
        <w:rPr>
          <w:rFonts w:ascii="Consolas" w:hAnsi="Consolas" w:eastAsia="Microsoft YaHei"/>
          <w:color w:val="1F4D78"/>
          <w:sz w:val="21"/>
        </w:rPr>
        <w:t>H_*</w:t>
      </w:r>
      <w:r>
        <w:rPr>
          <w:rFonts w:ascii="Calibri" w:hAnsi="Calibri" w:eastAsia="Microsoft YaHei"/>
          <w:b w:val="0"/>
          <w:color w:val="000000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Rate_*</w:t>
      </w:r>
      <w:r>
        <w:rPr>
          <w:rFonts w:ascii="Calibri" w:hAnsi="Calibri" w:eastAsia="Microsoft YaHei"/>
          <w:b w:val="0"/>
          <w:color w:val="000000"/>
          <w:sz w:val="22"/>
        </w:rPr>
        <w:t xml:space="preserve"> 与 funnel </w:t>
      </w:r>
      <w:r>
        <w:rPr>
          <w:rFonts w:ascii="Consolas" w:hAnsi="Consolas" w:eastAsia="Microsoft YaHei"/>
          <w:color w:val="1F4D78"/>
          <w:sz w:val="21"/>
        </w:rPr>
        <w:t>p_*</w:t>
      </w:r>
      <w:r>
        <w:rPr>
          <w:rFonts w:ascii="Calibri" w:hAnsi="Calibri" w:eastAsia="Microsoft YaHei"/>
          <w:b w:val="0"/>
          <w:color w:val="000000"/>
          <w:sz w:val="22"/>
        </w:rPr>
        <w:t xml:space="preserve"> 均为 [P]。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[P] 若用 funnel 估算，</w:t>
      </w:r>
      <w:r>
        <w:rPr>
          <w:rFonts w:ascii="Consolas" w:hAnsi="Consolas" w:eastAsia="Microsoft YaHei"/>
          <w:color w:val="1F4D78"/>
          <w:sz w:val="21"/>
        </w:rPr>
        <w:t>p_stage = N_stage / N_previous_stage</w:t>
      </w:r>
      <w:r>
        <w:rPr>
          <w:rFonts w:ascii="Calibri" w:hAnsi="Calibri" w:eastAsia="Microsoft YaHei"/>
          <w:b w:val="0"/>
          <w:color w:val="000000"/>
          <w:sz w:val="22"/>
        </w:rPr>
        <w:t xml:space="preserve"> 是带分层与缺失说明的条件概率，不假设各 stage 独立；同时报告 numerator/denominator 与 uncertainty，点估计不直接成为 production commitment。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Guideline question/ambiguity、case defects、rework loops 与 role handoff wait。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Env clean-start/reset/rebuild/provider drift、license/permission incidents。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Reference error、alternate-correct discovery、coverage gap、custody exposure。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Evaluator false accept/reject、known-bad escape、legitimate regression、exploit/judge drift。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Review disagreement/reversal/calibration drift/rationale、yield-pressure overrides。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SoD exceptions/compensating-control detection、rights clearance exceptions、COI changes/recusal、access anomalies、revocation latency、incident containment。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000000"/>
          <w:sz w:val="22"/>
        </w:rPr>
        <w:t>Pilot size、case/solver/reviewer/repeat composition、confidence/tolerance method、promotion/release threshold、audit/canary rate、advance/repair/rescope/stop gates 均 [P]。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 xml:space="preserve">Calendar time 还受稀缺 expertise、licensed environment、reference/evaluator 串行依赖与 rework queue 约束，不能用 </w:t>
      </w:r>
      <w:r>
        <w:rPr>
          <w:rFonts w:ascii="Consolas" w:hAnsi="Consolas" w:eastAsia="Microsoft YaHei"/>
          <w:color w:val="1F4D78"/>
          <w:sz w:val="21"/>
        </w:rPr>
        <w:t>H_total/headcount</w:t>
      </w:r>
      <w:r>
        <w:rPr>
          <w:rFonts w:ascii="Calibri" w:hAnsi="Calibri" w:eastAsia="Microsoft YaHei"/>
          <w:b w:val="0"/>
          <w:color w:val="000000"/>
          <w:sz w:val="22"/>
        </w:rPr>
        <w:t xml:space="preserve"> 简化。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13. 反方证据与残余风险</w:t>
      </w:r>
    </w:p>
    <w:p>
      <w:pPr>
        <w:numPr>
          <w:ilvl w:val="0"/>
          <w:numId w:val="15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Work sample 不是万能真值。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[F] 元分析提示经典效度叙事可能高估；技术/监控也可引入与目标能力无关的隐私、可及性与环境差异。[S12-S13, S1c] [R] 使用多证据链、合理便利、parallel forms 与 production shadow。</w:t>
      </w:r>
    </w:p>
    <w:p>
      <w:pPr>
        <w:numPr>
          <w:ilvl w:val="0"/>
          <w:numId w:val="15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证书有合法/专业价值，但 scope 有限。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[F] ISO 人员认证绑定 specific role/function 与 reassessment；执照考试研究不能支持广泛完整 practitioner competence 的因果主张。[S18, S1g]</w:t>
      </w:r>
    </w:p>
    <w:p>
      <w:pPr>
        <w:numPr>
          <w:ilvl w:val="0"/>
          <w:numId w:val="15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高 agreement 不等于 validity。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[F] Chance/base rate 可制造高 raw agreement；多数意见不决定 truth。[S28-S29] [R] 同看 confusion、理由、alternate-correct、adjudication 与 six-root-cause。</w:t>
      </w:r>
    </w:p>
    <w:p>
      <w:pPr>
        <w:numPr>
          <w:ilvl w:val="0"/>
          <w:numId w:val="15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独立 review 也有成本与盲点。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[F] AQuA/GAO 文本强调 proportionate assurance 和 alternative controls。[S27, S32] [I] 过度 compartmentalization 可能损失 tacit/domain context，须在 pilot 测 coordination cost 与漏检。[R] Author 可答疑/修订，但 formal acceptance 不回到 author。</w:t>
      </w:r>
    </w:p>
    <w:p>
      <w:pPr>
        <w:numPr>
          <w:ilvl w:val="0"/>
          <w:numId w:val="15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Deterministic evaluator 只能提高 repeatability，不自动保证 construct validity。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[F] Test insufficiency、narrow/wide tests、grader gaming 与 alternate-correct rejection 均有公开证据。[S05, S09, S09b, S22-S24]</w:t>
      </w:r>
    </w:p>
    <w:p>
      <w:pPr>
        <w:numPr>
          <w:ilvl w:val="0"/>
          <w:numId w:val="15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职责分离不能消除 collusion/override。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[F] GAO 明确承认残余风险。[S32] [R] 结合 protected logs、random rechecks、reason-coded appeals、independent closure 与 integrity culture。</w:t>
      </w:r>
    </w:p>
    <w:p>
      <w:pPr>
        <w:numPr>
          <w:ilvl w:val="0"/>
          <w:numId w:val="15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Audit logs 也是敏感数据。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[I] Logs 可能包含 PII、行为与 reference clues；同样需要 minimisation、access、retention 与 protected administration。</w:t>
      </w:r>
    </w:p>
    <w:p>
      <w:pPr>
        <w:numPr>
          <w:ilvl w:val="0"/>
          <w:numId w:val="15"/>
        </w:numPr>
        <w:spacing w:after="120"/>
      </w:pPr>
      <w:r>
        <w:rPr>
          <w:rFonts w:ascii="Calibri" w:hAnsi="Calibri" w:eastAsia="Microsoft YaHei"/>
          <w:b/>
          <w:color w:val="000000"/>
          <w:sz w:val="22"/>
        </w:rPr>
        <w:t>法律适用 underdetermined。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[F] WIPO 指出国家法律不同；GDPR、美国版权、NIH/FDA/FTC 文本不能直接全球化。[S33-S39] [P] 客户、worker status、data flow、jurisdiction、contract 与 counsel 决定。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14. 可直接采用的项目建议</w:t>
      </w:r>
    </w:p>
    <w:p>
      <w:pPr>
        <w:numPr>
          <w:ilvl w:val="0"/>
          <w:numId w:val="16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在每个 instance ticket 加人名级 RACI、不兼容角色与 prior-exposure/COI check。</w:t>
      </w:r>
    </w:p>
    <w:p>
      <w:pPr>
        <w:numPr>
          <w:ilvl w:val="0"/>
          <w:numId w:val="16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 xml:space="preserve">用 </w:t>
      </w:r>
      <w:r>
        <w:rPr>
          <w:rFonts w:ascii="Consolas" w:hAnsi="Consolas" w:eastAsia="Microsoft YaHei"/>
          <w:color w:val="1F4D78"/>
          <w:sz w:val="21"/>
        </w:rPr>
        <w:t>R0-R4</w:t>
      </w:r>
      <w:r>
        <w:rPr>
          <w:rFonts w:ascii="Calibri" w:hAnsi="Calibri" w:eastAsia="Microsoft YaHei"/>
          <w:b w:val="0"/>
          <w:color w:val="000000"/>
          <w:sz w:val="22"/>
        </w:rPr>
        <w:t xml:space="preserve"> 分离 public input、working reference、sealed reference、evaluator secret、release artifact。</w:t>
      </w:r>
    </w:p>
    <w:p>
      <w:pPr>
        <w:numPr>
          <w:ilvl w:val="0"/>
          <w:numId w:val="16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把 Golden/guideline 从文档包升级为第 6 节的 executable evidence pack；所有口头标准进入 versioned FAQ/change log。</w:t>
      </w:r>
    </w:p>
    <w:p>
      <w:pPr>
        <w:numPr>
          <w:ilvl w:val="0"/>
          <w:numId w:val="16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把 batch zero 数据表设计成 item×criterion×expert×environment×reference×evaluator，可保存原始 judgment、reason、artifact、trace 与 adjudication。</w:t>
      </w:r>
    </w:p>
    <w:p>
      <w:pPr>
        <w:numPr>
          <w:ilvl w:val="0"/>
          <w:numId w:val="16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Qualification 统一采用身份/claim → 结构化面试 → blind work sample → role-specific Golden；所有 sourcing channels 同 gate。</w:t>
      </w:r>
    </w:p>
    <w:p>
      <w:pPr>
        <w:numPr>
          <w:ilvl w:val="0"/>
          <w:numId w:val="16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Reviewer 采用 blind qualification + two-stage reference reveal + shadow review + 独立 promotion；看 accepted 和 rejected cases。</w:t>
      </w:r>
    </w:p>
    <w:p>
      <w:pPr>
        <w:numPr>
          <w:ilvl w:val="0"/>
          <w:numId w:val="16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Rights/security checklist 在 raw data 分发前执行；NDA、IP assignment/license、PII purpose、employer restriction、COI、custody 同时进 gate。</w:t>
      </w:r>
    </w:p>
    <w:p>
      <w:pPr>
        <w:numPr>
          <w:ilvl w:val="0"/>
          <w:numId w:val="16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Rubric/evaluator 修改必须有 change request、impact analysis、positive/negative/alternate regression 与新 release decision。</w:t>
      </w:r>
    </w:p>
    <w:p>
      <w:pPr>
        <w:numPr>
          <w:ilvl w:val="0"/>
          <w:numId w:val="16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Dashboard 不以 yield/throughput 代表质量；同时显示 false accept/reject、root causes、drift、overturn、COI/access/integrity incidents。</w:t>
      </w:r>
    </w:p>
    <w:p>
      <w:pPr>
        <w:numPr>
          <w:ilvl w:val="0"/>
          <w:numId w:val="16"/>
        </w:numPr>
        <w:spacing w:after="120"/>
      </w:pPr>
      <w:r>
        <w:rPr>
          <w:rFonts w:ascii="Calibri" w:hAnsi="Calibri" w:eastAsia="Microsoft YaHei"/>
          <w:b w:val="0"/>
          <w:color w:val="000000"/>
          <w:sz w:val="22"/>
        </w:rPr>
        <w:t>Deboarding 采用 event trigger、verified revocation、ownership transfer、return/delete、secret rotation（需要时）和独立 closure。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15. 假设检验结果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</w:tblPr>
      <w:tblGrid>
        <w:gridCol w:w="2050"/>
        <w:gridCol w:w="4450"/>
        <w:gridCol w:w="2860"/>
      </w:tblGrid>
      <w:tr>
        <w:trPr>
          <w:tblHeader w:val="true"/>
          <w:cantSplit w:val="true"/>
        </w:trPr>
        <w:tc>
          <w:tcPr>
            <w:tcW w:type="dxa" w:w="20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假设</w:t>
            </w:r>
          </w:p>
        </w:tc>
        <w:tc>
          <w:tcPr>
            <w:tcW w:type="dxa" w:w="44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结果</w:t>
            </w:r>
          </w:p>
        </w:tc>
        <w:tc>
          <w:tcPr>
            <w:tcW w:type="dxa" w:w="286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依据与失效条件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H1 背景证据不等于当前表现，blind sample/Golden 更直接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支持但有限制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OPM/EEOC/ISO + selection/work-sample 元分析；若 local pilot 显示直接样本无增量或引入不可接受 bias，则调整组合 [S10-S18]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H2 Raw agreement 不足以定位六类根因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强支持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Agreement 方法、EPA、SWE-bench/OSWorld/EvalPlus 与 NIST environment/evaluator evidence [S04-S06, S22-S24, S28-S29]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H3 Asset-level separation/least privilege 可形成可审计风险控制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规范/机制与类比支持；因果效果待 pilot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NIST/GAO/NASA/AQuA/NIH/WIPO；pilot 测 defect detection、leak/override exposure、SoD exception 与 coordination cost [S25-S27, S30-S34]</w:t>
            </w:r>
          </w:p>
        </w:tc>
      </w:tr>
      <w:tr>
        <w:trPr>
          <w:cantSplit w:val="true"/>
        </w:trPr>
        <w:tc>
          <w:tcPr>
            <w:tcW w:type="dxa" w:w="20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H4 Micro1 顺序可用但对 executable/governance 不完整</w:t>
            </w:r>
          </w:p>
        </w:tc>
        <w:tc>
          <w:tcPr>
            <w:tcW w:type="dxa" w:w="44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与外部证据相容；Micro1 本身未被直接验证</w:t>
            </w:r>
          </w:p>
        </w:tc>
        <w:tc>
          <w:tcPr>
            <w:tcW w:type="dxa" w:w="28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ALE staged pipeline 与技术/治理证据支持修改方向，不证明 staffing、产能、阈值或效果 [S01-S09b, S20-S39]</w:t>
            </w:r>
          </w:p>
        </w:tc>
      </w:tr>
    </w:tbl>
    <w:p>
      <w:pPr>
        <w:spacing w:after="0" w:before="40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16. 来源表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 xml:space="preserve">完整逐源卡片位于 </w:t>
      </w:r>
      <w:r>
        <w:rPr>
          <w:rFonts w:ascii="Calibri" w:hAnsi="Calibri" w:eastAsia="Microsoft YaHei"/>
          <w:color w:val="2E74B5"/>
          <w:sz w:val="22"/>
          <w:u w:val="single"/>
        </w:rPr>
        <w:t>`sources/`</w:t>
      </w:r>
      <w:r>
        <w:rPr>
          <w:rFonts w:ascii="Calibri" w:hAnsi="Calibri" w:eastAsia="Microsoft YaHei"/>
          <w:b w:val="0"/>
          <w:color w:val="000000"/>
          <w:sz w:val="22"/>
        </w:rPr>
        <w:t xml:space="preserve">，每张含元数据、短引文、支持/反驳、边界与评分；可筛选索引见 </w:t>
      </w:r>
      <w:r>
        <w:rPr>
          <w:rFonts w:ascii="Calibri" w:hAnsi="Calibri" w:eastAsia="Microsoft YaHei"/>
          <w:color w:val="2E74B5"/>
          <w:sz w:val="22"/>
          <w:u w:val="single"/>
        </w:rPr>
        <w:t>`sources.csv`</w:t>
      </w:r>
      <w:r>
        <w:rPr>
          <w:rFonts w:ascii="Calibri" w:hAnsi="Calibri" w:eastAsia="Microsoft YaHei"/>
          <w:b w:val="0"/>
          <w:color w:val="000000"/>
          <w:sz w:val="22"/>
        </w:rPr>
        <w:t xml:space="preserve">。[F] </w:t>
      </w:r>
      <w:r>
        <w:rPr>
          <w:rFonts w:ascii="Consolas" w:hAnsi="Consolas" w:eastAsia="Microsoft YaHei"/>
          <w:color w:val="1F4D78"/>
          <w:sz w:val="21"/>
        </w:rPr>
        <w:t>S01/S20</w:t>
      </w:r>
      <w:r>
        <w:rPr>
          <w:rFonts w:ascii="Calibri" w:hAnsi="Calibri" w:eastAsia="Microsoft YaHei"/>
          <w:b w:val="0"/>
          <w:color w:val="000000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S02/S21</w:t>
      </w:r>
      <w:r>
        <w:rPr>
          <w:rFonts w:ascii="Calibri" w:hAnsi="Calibri" w:eastAsia="Microsoft YaHei"/>
          <w:b w:val="0"/>
          <w:color w:val="000000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S09/S24</w:t>
      </w:r>
      <w:r>
        <w:rPr>
          <w:rFonts w:ascii="Calibri" w:hAnsi="Calibri" w:eastAsia="Microsoft YaHei"/>
          <w:b w:val="0"/>
          <w:color w:val="000000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S25/S31</w:t>
      </w:r>
      <w:r>
        <w:rPr>
          <w:rFonts w:ascii="Calibri" w:hAnsi="Calibri" w:eastAsia="Microsoft YaHei"/>
          <w:b w:val="0"/>
          <w:color w:val="000000"/>
          <w:sz w:val="22"/>
        </w:rPr>
        <w:t xml:space="preserve"> 是同一 canonical source 的不同用途摘录，只计一个独立来源；</w:t>
      </w:r>
      <w:r>
        <w:rPr>
          <w:rFonts w:ascii="Consolas" w:hAnsi="Consolas" w:eastAsia="Microsoft YaHei"/>
          <w:color w:val="1F4D78"/>
          <w:sz w:val="21"/>
        </w:rPr>
        <w:t>sources.csv</w:t>
      </w:r>
      <w:r>
        <w:rPr>
          <w:rFonts w:ascii="Calibri" w:hAnsi="Calibri" w:eastAsia="Microsoft YaHei"/>
          <w:b w:val="0"/>
          <w:color w:val="000000"/>
          <w:sz w:val="22"/>
        </w:rPr>
        <w:t xml:space="preserve"> 同时保留 institution/origin family，避免把同一项目不同 surface 当作独立验证者。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</w:tblPr>
      <w:tblGrid>
        <w:gridCol w:w="1550"/>
        <w:gridCol w:w="3300"/>
        <w:gridCol w:w="2850"/>
        <w:gridCol w:w="1660"/>
      </w:tblGrid>
      <w:tr>
        <w:trPr>
          <w:tblHeader w:val="true"/>
          <w:cantSplit w:val="true"/>
        </w:trPr>
        <w:tc>
          <w:tcPr>
            <w:tcW w:type="dxa" w:w="15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ID</w:t>
            </w:r>
          </w:p>
        </w:tc>
        <w:tc>
          <w:tcPr>
            <w:tcW w:type="dxa" w:w="330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来源</w:t>
            </w:r>
          </w:p>
        </w:tc>
        <w:tc>
          <w:tcPr>
            <w:tcW w:type="dxa" w:w="285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类型</w:t>
            </w:r>
          </w:p>
        </w:tc>
        <w:tc>
          <w:tcPr>
            <w:tcW w:type="dxa" w:w="1660"/>
            <w:shd w:fill="F2F4F7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本报告主要用途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S01-S03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ALE paper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GitHub pinned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HF pinned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论文/官方代码/数据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冻结术语、asset boundary、版本/unit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S04-S06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NIST AI 800-2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agent cheating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AI 800-3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政府方法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TEVV、environment、contamination、measurement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S07-S09b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Agents That Matter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SWE-bench method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reaudit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Terminal-Bench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verifier hardening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学术/运营审计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holdout、trace、test validity、gaming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S10-S11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OPM work samples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structured interviews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政府选拔方法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current performance 与结构化面试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S12-S14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Sackett 2022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Roth 2005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skill decay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同行评议元分析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反方效度与过时经验边界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S15-S19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Reference checking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EEOC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NIST identity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ISO 17024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EPA experts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政府/标准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claim、identity、credential、expert selection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S1a-S1g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NASEM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US Ed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ITC/ATP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Delphi review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OPM accomplishments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Interview meta-analysis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licensing exam review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政策/专业/学术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panel balance、fraud、monitoring、渠道与限制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S20-S24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ALE contract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pinned code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OSWorld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EvalPlus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SWE-bench audit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论文/代码/审计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Golden、alternate-correct、test insufficiency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S25-S29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NIST RMF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NASA IV&amp;V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AQuA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agreement method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EPA calibration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政府/学术方法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independence、assurance、agreement/calibration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S30-S34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NIST 800-53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AI RMF governance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GAO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NIH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WIPO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控制/运营/IP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SoD、access、COI、custody、exit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S35-S39</w:t>
            </w:r>
          </w:p>
        </w:tc>
        <w:tc>
          <w:tcPr>
            <w:tcW w:type="dxa" w:w="330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GDPR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US Copyright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FDA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ISO 17025 overview</w:t>
            </w: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、</w:t>
            </w:r>
            <w:r>
              <w:rPr>
                <w:rFonts w:ascii="Calibri" w:hAnsi="Calibri" w:eastAsia="Microsoft YaHei"/>
                <w:color w:val="2E74B5"/>
                <w:sz w:val="16"/>
                <w:u w:val="single"/>
              </w:rPr>
              <w:t>FTC</w:t>
            </w:r>
          </w:p>
        </w:tc>
        <w:tc>
          <w:tcPr>
            <w:tcW w:type="dxa" w:w="285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法律/监管/标准</w:t>
            </w:r>
          </w:p>
        </w:tc>
        <w:tc>
          <w:tcPr>
            <w:tcW w:type="dxa" w:w="1660"/>
            <w:tcMar>
              <w:top w:w="65" w:type="dxa"/>
              <w:start w:w="90" w:type="dxa"/>
              <w:bottom w:w="6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000000"/>
                <w:sz w:val="16"/>
              </w:rPr>
              <w:t>PII、chain of title、audit trail、impartiality、vendor/data controls</w:t>
            </w:r>
          </w:p>
        </w:tc>
      </w:tr>
    </w:tbl>
    <w:p>
      <w:pPr>
        <w:spacing w:after="0" w:before="40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17. Refresh Targets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 xml:space="preserve">详细 delta-refresh 表见 </w:t>
      </w:r>
      <w:r>
        <w:rPr>
          <w:rFonts w:ascii="Calibri" w:hAnsi="Calibri" w:eastAsia="Microsoft YaHei"/>
          <w:color w:val="2E74B5"/>
          <w:sz w:val="22"/>
          <w:u w:val="single"/>
        </w:rPr>
        <w:t>`refresh_targets.md`</w:t>
      </w:r>
      <w:r>
        <w:rPr>
          <w:rFonts w:ascii="Calibri" w:hAnsi="Calibri" w:eastAsia="Microsoft YaHei"/>
          <w:b w:val="0"/>
          <w:color w:val="000000"/>
          <w:sz w:val="22"/>
        </w:rPr>
        <w:t>。优先监控：ALE 三个冻结表面的新 revision；NIST AI 800-2 final 与 AI RMF revision；ISO/IEC 17024/17025；目标法域数据/IP/劳动与 contractor rules；专业 license/certification registries；软件/license/ToS/VM image；reference/evaluator 泄漏或 exploit；qualification/Golden exposure；COI/雇主关系；pilot strata 的 drift。</w:t>
      </w:r>
    </w:p>
    <w:p>
      <w:pPr/>
      <w:r>
        <w:rPr>
          <w:rFonts w:ascii="Calibri" w:hAnsi="Calibri" w:eastAsia="Microsoft YaHei"/>
          <w:b w:val="0"/>
          <w:color w:val="000000"/>
          <w:sz w:val="22"/>
        </w:rPr>
        <w:t>每次 refresh 保存旧/新 revision、访问日、变更摘要、受影响 claim/instance、replay/regression、rights/COI/access decision 与 repair/invalidate/rotate/retire 结果。</w:t>
      </w:r>
    </w:p>
    <w:p>
      <w:pPr/>
      <w:r>
        <w:rPr>
          <w:rFonts w:ascii="Calibri" w:hAnsi="Calibri" w:eastAsia="Microsoft YaHei"/>
          <w:b/>
          <w:color w:val="000000"/>
          <w:sz w:val="22"/>
        </w:rPr>
        <w:t>最终判断：</w:t>
      </w:r>
      <w:r>
        <w:rPr>
          <w:rFonts w:ascii="Calibri" w:hAnsi="Calibri" w:eastAsia="Microsoft YaHei"/>
          <w:b w:val="0"/>
          <w:color w:val="000000"/>
          <w:sz w:val="22"/>
        </w:rPr>
        <w:t xml:space="preserve"> [R] 1,000 个 runnable instances 的核心组织问题不是“招多少专家”，而是把专业真实性、可执行性、reference/evaluator validity、独立判断、权利与 custody 组合成一条可审计的 release chain。只有 pilot 能把这条 chain 中的人员、阈值、吞吐、返工与成本变量冻结为项目承诺。</w:t>
      </w:r>
    </w:p>
    <w:sectPr w:rsidR="00FC693F" w:rsidRPr="0006063C" w:rsidSect="00034616">
      <w:pgSz w:w="12240" w:h="15840"/>
      <w:pgMar w:top="1440" w:right="1440" w:bottom="1440" w:left="1440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66666"/>
        <w:sz w:val="17"/>
      </w:rPr>
      <w:t xml:space="preserve">Page </w:t>
    </w:r>
    <w:r>
      <w:rPr>
        <w:rFonts w:ascii="Calibri" w:hAnsi="Calibri" w:eastAsia="Microsoft YaHei"/>
        <w:color w:val="666666"/>
        <w:sz w:val="17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666666"/>
        <w:sz w:val="17"/>
      </w:rPr>
      <w:t xml:space="preserve"> of </w:t>
    </w:r>
    <w:r>
      <w:rPr>
        <w:rFonts w:ascii="Calibri" w:hAnsi="Calibri" w:eastAsia="Microsoft YaHei"/>
        <w:color w:val="666666"/>
        <w:sz w:val="17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666666"/>
        <w:sz w:val="16"/>
      </w:rPr>
      <w:t>ALE-STYLE BENCHMARK GOVERNANCE  |  EVIDENCE FREEZE 2026-08-09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A0000009"/>
    <w:tmpl w:val="B0000009"/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>
    <w:nsid w:val="A000000A"/>
    <w:tmpl w:val="B000000A"/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1">
    <w:nsid w:val="A000000B"/>
    <w:tmpl w:val="B000000B"/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A000000C"/>
    <w:tmpl w:val="B000000C"/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3">
    <w:nsid w:val="A000000D"/>
    <w:tmpl w:val="B000000D"/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4">
    <w:nsid w:val="A000000E"/>
    <w:tmpl w:val="B000000E"/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A000000F"/>
    <w:tmpl w:val="B000000F"/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ind w:left="720" w:hanging="360"/>
      <w:contextualSpacing/>
    </w:pPr>
    <w:rPr>
      <w:rFonts w:ascii="Calibri" w:hAnsi="Calibri" w:eastAsia="Microsoft YaHei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120" w:line="264" w:lineRule="auto"/>
      <w:ind w:left="1080" w:hanging="360"/>
      <w:contextualSpacing/>
    </w:pPr>
    <w:rPr>
      <w:rFonts w:ascii="Calibri" w:hAnsi="Calibri" w:eastAsia="Microsoft YaHei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ind w:left="720" w:hanging="360"/>
      <w:contextualSpacing/>
    </w:pPr>
    <w:rPr>
      <w:rFonts w:ascii="Calibri" w:hAnsi="Calibri" w:eastAsia="Microsoft YaHei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ALE-style 专家生产、校准与治理体系</dc:title>
  <dc:subject>UniPat interview assignment and 1,000 runnable benchmark production design</dc:subject>
  <dc:creator>Research working paper</dc:creator>
  <cp:keywords/>
  <dc:description>Evidence freeze: 2026-08-09; staffing and quality parameters remain pilot variables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